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3EAEF" w14:textId="32208EFF" w:rsidR="00913C9D" w:rsidRPr="00F349AC" w:rsidRDefault="00913C9D" w:rsidP="00E852C5">
      <w:pPr>
        <w:pStyle w:val="DocumentCover-Project"/>
        <w:rPr>
          <w:rFonts w:asciiTheme="minorHAnsi" w:hAnsiTheme="minorHAnsi" w:cstheme="minorHAnsi"/>
          <w:color w:val="006A76"/>
          <w:sz w:val="72"/>
          <w:szCs w:val="52"/>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r w:rsidRPr="00F349AC">
        <w:rPr>
          <w:rFonts w:asciiTheme="minorHAnsi" w:hAnsiTheme="minorHAnsi" w:cstheme="minorHAnsi"/>
          <w:noProof w:val="0"/>
          <w:color w:val="006A76"/>
          <w:sz w:val="72"/>
          <w:szCs w:val="52"/>
          <w:lang w:val="fr-CA"/>
        </w:rPr>
        <w:t xml:space="preserve">ÉNONCÉ DES EXIGENCES </w:t>
      </w:r>
    </w:p>
    <w:p w14:paraId="12563180" w14:textId="77777777" w:rsidR="00E852C5" w:rsidRPr="00E852C5" w:rsidRDefault="00E852C5" w:rsidP="00E852C5">
      <w:pPr>
        <w:pStyle w:val="DocumentCover-BoldRight"/>
        <w:rPr>
          <w:rFonts w:asciiTheme="minorHAnsi" w:hAnsiTheme="minorHAnsi" w:cstheme="minorHAnsi"/>
          <w:b/>
          <w:bCs/>
          <w:i/>
          <w:iCs/>
          <w:color w:val="808080" w:themeColor="background1" w:themeShade="80"/>
          <w:sz w:val="40"/>
          <w:szCs w:val="32"/>
          <w:lang w:val="fr-CA"/>
        </w:rPr>
      </w:pPr>
      <w:r w:rsidRPr="00E852C5">
        <w:rPr>
          <w:rFonts w:asciiTheme="minorHAnsi" w:hAnsiTheme="minorHAnsi" w:cstheme="minorHAnsi"/>
          <w:b/>
          <w:bCs/>
          <w:i/>
          <w:iCs/>
          <w:color w:val="808080" w:themeColor="background1" w:themeShade="80"/>
          <w:sz w:val="40"/>
          <w:szCs w:val="32"/>
          <w:lang w:val="fr-CA"/>
        </w:rPr>
        <w:t>Création d’un dispositif de signalement</w:t>
      </w:r>
    </w:p>
    <w:p w14:paraId="0FB5BE44" w14:textId="77777777" w:rsidR="00E852C5" w:rsidRPr="00E852C5" w:rsidRDefault="00E852C5" w:rsidP="00E852C5">
      <w:pPr>
        <w:pStyle w:val="DocumentCover-BoldRight"/>
        <w:rPr>
          <w:rFonts w:asciiTheme="minorHAnsi" w:hAnsiTheme="minorHAnsi" w:cstheme="minorHAnsi"/>
          <w:b/>
          <w:bCs/>
          <w:i/>
          <w:iCs/>
          <w:color w:val="808080" w:themeColor="background1" w:themeShade="80"/>
          <w:sz w:val="40"/>
          <w:szCs w:val="32"/>
          <w:lang w:val="fr-CA"/>
        </w:rPr>
      </w:pPr>
      <w:r w:rsidRPr="00E852C5">
        <w:rPr>
          <w:rFonts w:asciiTheme="minorHAnsi" w:hAnsiTheme="minorHAnsi" w:cstheme="minorHAnsi"/>
          <w:b/>
          <w:bCs/>
          <w:i/>
          <w:iCs/>
          <w:color w:val="808080" w:themeColor="background1" w:themeShade="80"/>
          <w:sz w:val="40"/>
          <w:szCs w:val="32"/>
          <w:lang w:val="fr-CA"/>
        </w:rPr>
        <w:t>des actes de violence, de discrimination, de harcèlement et d</w:t>
      </w:r>
      <w:r w:rsidRPr="00E852C5">
        <w:rPr>
          <w:rFonts w:asciiTheme="minorHAnsi" w:hAnsiTheme="minorHAnsi" w:cstheme="minorHAnsi" w:hint="eastAsia"/>
          <w:b/>
          <w:bCs/>
          <w:i/>
          <w:iCs/>
          <w:color w:val="808080" w:themeColor="background1" w:themeShade="80"/>
          <w:sz w:val="40"/>
          <w:szCs w:val="32"/>
          <w:lang w:val="fr-CA"/>
        </w:rPr>
        <w:t>’</w:t>
      </w:r>
      <w:r w:rsidRPr="00E852C5">
        <w:rPr>
          <w:rFonts w:asciiTheme="minorHAnsi" w:hAnsiTheme="minorHAnsi" w:cstheme="minorHAnsi"/>
          <w:b/>
          <w:bCs/>
          <w:i/>
          <w:iCs/>
          <w:color w:val="808080" w:themeColor="background1" w:themeShade="80"/>
          <w:sz w:val="40"/>
          <w:szCs w:val="32"/>
          <w:lang w:val="fr-CA"/>
        </w:rPr>
        <w:t>agissements sexistes au sein d’ALF CC</w:t>
      </w:r>
    </w:p>
    <w:p w14:paraId="4A50E41C" w14:textId="77777777" w:rsidR="00E852C5" w:rsidRPr="00E852C5" w:rsidRDefault="00E852C5" w:rsidP="00E852C5">
      <w:pPr>
        <w:pStyle w:val="DocumentCover-BoldRight"/>
        <w:rPr>
          <w:rFonts w:asciiTheme="minorHAnsi" w:hAnsiTheme="minorHAnsi" w:cstheme="minorHAnsi"/>
          <w:bCs/>
          <w:iCs/>
          <w:color w:val="808080" w:themeColor="background1" w:themeShade="80"/>
          <w:sz w:val="40"/>
          <w:szCs w:val="32"/>
        </w:rPr>
      </w:pPr>
    </w:p>
    <w:p w14:paraId="1C4BE2DC" w14:textId="77777777" w:rsidR="00E852C5" w:rsidRPr="00E852C5" w:rsidRDefault="00E852C5" w:rsidP="00E852C5">
      <w:pPr>
        <w:pStyle w:val="DocumentCover-BoldRight"/>
        <w:rPr>
          <w:rFonts w:asciiTheme="minorHAnsi" w:hAnsiTheme="minorHAnsi" w:cstheme="minorHAnsi"/>
          <w:bCs/>
          <w:iCs/>
          <w:color w:val="808080" w:themeColor="background1" w:themeShade="80"/>
          <w:sz w:val="40"/>
          <w:szCs w:val="32"/>
        </w:rPr>
      </w:pPr>
    </w:p>
    <w:p w14:paraId="264ADFD9" w14:textId="77777777" w:rsidR="00E852C5" w:rsidRPr="00E852C5" w:rsidRDefault="00E852C5" w:rsidP="00E852C5">
      <w:pPr>
        <w:pStyle w:val="DocumentCover-BoldRight"/>
        <w:rPr>
          <w:rFonts w:asciiTheme="minorHAnsi" w:hAnsiTheme="minorHAnsi" w:cstheme="minorHAnsi"/>
          <w:b/>
          <w:bCs/>
          <w:i/>
          <w:iCs/>
          <w:color w:val="808080" w:themeColor="background1" w:themeShade="80"/>
          <w:sz w:val="40"/>
          <w:szCs w:val="32"/>
        </w:rPr>
      </w:pPr>
      <w:r w:rsidRPr="00E852C5">
        <w:rPr>
          <w:rFonts w:asciiTheme="minorHAnsi" w:hAnsiTheme="minorHAnsi" w:cstheme="minorHAnsi"/>
          <w:b/>
          <w:bCs/>
          <w:i/>
          <w:iCs/>
          <w:color w:val="808080" w:themeColor="background1" w:themeShade="80"/>
          <w:sz w:val="40"/>
          <w:szCs w:val="32"/>
          <w:lang w:val="fr-CA"/>
        </w:rPr>
        <w:t>DRH</w:t>
      </w:r>
    </w:p>
    <w:p w14:paraId="100E4F40" w14:textId="77777777" w:rsidR="00913C9D" w:rsidRPr="00FE5D8B" w:rsidRDefault="00913C9D">
      <w:pPr>
        <w:pStyle w:val="DocumentCover-BoldRight"/>
        <w:rPr>
          <w:rFonts w:asciiTheme="minorHAnsi" w:hAnsiTheme="minorHAnsi" w:cstheme="minorHAnsi"/>
          <w:b/>
          <w:szCs w:val="24"/>
        </w:rPr>
      </w:pPr>
    </w:p>
    <w:p w14:paraId="1002F9E8" w14:textId="77777777" w:rsidR="00913C9D" w:rsidRPr="00FE5D8B" w:rsidRDefault="00913C9D">
      <w:pPr>
        <w:pStyle w:val="DocumentCover-BoldRight"/>
        <w:rPr>
          <w:rFonts w:asciiTheme="minorHAnsi" w:hAnsiTheme="minorHAnsi" w:cstheme="minorHAnsi"/>
          <w:b/>
          <w:szCs w:val="24"/>
        </w:rPr>
      </w:pPr>
    </w:p>
    <w:p w14:paraId="5D3A00D6"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191061BC" w14:textId="77777777" w:rsidR="00913C9D" w:rsidRPr="00FE5D8B" w:rsidRDefault="00913C9D">
      <w:pPr>
        <w:pStyle w:val="LeadParagraph"/>
        <w:jc w:val="center"/>
        <w:rPr>
          <w:rFonts w:asciiTheme="minorHAnsi" w:hAnsiTheme="minorHAnsi" w:cstheme="minorHAnsi"/>
          <w:lang w:val="fr-CA"/>
        </w:rPr>
      </w:pPr>
    </w:p>
    <w:p w14:paraId="24821DF9" w14:textId="77777777"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7C0F0090" wp14:editId="66958527">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2EC4A789"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495BF096" w14:textId="77777777" w:rsidR="00913C9D" w:rsidRPr="00F349AC" w:rsidRDefault="00252272">
      <w:pPr>
        <w:jc w:val="right"/>
        <w:rPr>
          <w:rFonts w:asciiTheme="minorHAnsi" w:hAnsiTheme="minorHAnsi" w:cstheme="minorHAnsi"/>
          <w:bCs/>
          <w:sz w:val="28"/>
          <w:szCs w:val="28"/>
          <w:lang w:val="fr-CA"/>
        </w:rPr>
      </w:pPr>
      <w:r w:rsidRPr="00F349AC">
        <w:rPr>
          <w:rFonts w:asciiTheme="minorHAnsi" w:hAnsiTheme="minorHAnsi" w:cstheme="minorHAnsi"/>
          <w:bCs/>
          <w:sz w:val="28"/>
          <w:szCs w:val="28"/>
          <w:lang w:val="fr-CA"/>
        </w:rPr>
        <w:t>Projet de transfert de l’abattoir municipal d’Ambert</w:t>
      </w:r>
    </w:p>
    <w:p w14:paraId="67297EB6" w14:textId="77777777"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t>Phase de définition</w:t>
      </w:r>
    </w:p>
    <w:p w14:paraId="3DEEEC40"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11EA2ED1" w14:textId="77777777" w:rsidR="00913C9D" w:rsidRPr="00FE5D8B" w:rsidRDefault="00913C9D">
      <w:pPr>
        <w:rPr>
          <w:rFonts w:asciiTheme="minorHAnsi" w:hAnsiTheme="minorHAnsi" w:cstheme="minorHAnsi"/>
          <w:szCs w:val="24"/>
          <w:lang w:val="fr-CA"/>
        </w:rPr>
      </w:pPr>
    </w:p>
    <w:p w14:paraId="6012BA0D" w14:textId="77777777"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4978726B" w14:textId="77777777" w:rsidR="008969DC" w:rsidRPr="00FE5D8B" w:rsidRDefault="008969DC" w:rsidP="008969DC">
      <w:pPr>
        <w:pStyle w:val="Corpsdetexte"/>
        <w:rPr>
          <w:rFonts w:asciiTheme="minorHAnsi" w:hAnsiTheme="minorHAnsi" w:cstheme="minorHAnsi"/>
          <w:lang w:val="fr-CA"/>
        </w:rPr>
      </w:pPr>
    </w:p>
    <w:p w14:paraId="2CCA49B7" w14:textId="261A9B03" w:rsidR="008969DC" w:rsidRPr="00FE5D8B"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Acteurs du projet : </w:t>
      </w:r>
    </w:p>
    <w:p w14:paraId="677AB8F6" w14:textId="77777777" w:rsidR="008969DC" w:rsidRPr="00FE5D8B" w:rsidRDefault="008969DC" w:rsidP="008969DC">
      <w:pPr>
        <w:pStyle w:val="Corpsdetexte"/>
        <w:rPr>
          <w:rFonts w:asciiTheme="minorHAnsi" w:hAnsiTheme="minorHAnsi" w:cstheme="minorHAnsi"/>
          <w:lang w:val="fr-CA"/>
        </w:rPr>
      </w:pPr>
    </w:p>
    <w:p w14:paraId="6A169A25"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666F79F9" w14:textId="77777777" w:rsidR="00E852C5" w:rsidRDefault="00E852C5" w:rsidP="00E852C5">
      <w:pPr>
        <w:pStyle w:val="Corpsdetexte"/>
        <w:numPr>
          <w:ilvl w:val="0"/>
          <w:numId w:val="23"/>
        </w:numPr>
        <w:jc w:val="both"/>
        <w:rPr>
          <w:sz w:val="24"/>
          <w:szCs w:val="22"/>
          <w:lang w:val="fr-CA"/>
        </w:rPr>
      </w:pPr>
      <w:r>
        <w:rPr>
          <w:sz w:val="24"/>
          <w:szCs w:val="22"/>
          <w:lang w:val="fr-CA"/>
        </w:rPr>
        <w:t>Comité technique Ambert Livradois Forez communauté de communes</w:t>
      </w:r>
    </w:p>
    <w:p w14:paraId="5DA729B6" w14:textId="77777777" w:rsidR="00E852C5" w:rsidRDefault="00E852C5" w:rsidP="00E852C5">
      <w:pPr>
        <w:pStyle w:val="Corpsdetexte"/>
        <w:numPr>
          <w:ilvl w:val="0"/>
          <w:numId w:val="23"/>
        </w:numPr>
        <w:jc w:val="both"/>
        <w:rPr>
          <w:sz w:val="24"/>
          <w:szCs w:val="22"/>
          <w:lang w:val="fr-CA"/>
        </w:rPr>
      </w:pPr>
      <w:r>
        <w:rPr>
          <w:sz w:val="24"/>
          <w:szCs w:val="22"/>
          <w:lang w:val="fr-CA"/>
        </w:rPr>
        <w:t xml:space="preserve">CHSCT Ambert Livradois Forez communauté de communes </w:t>
      </w:r>
    </w:p>
    <w:p w14:paraId="70F8064D" w14:textId="77777777" w:rsidR="00E852C5" w:rsidRDefault="00E852C5" w:rsidP="00E852C5">
      <w:pPr>
        <w:pStyle w:val="Corpsdetexte"/>
        <w:numPr>
          <w:ilvl w:val="0"/>
          <w:numId w:val="23"/>
        </w:numPr>
        <w:jc w:val="both"/>
        <w:rPr>
          <w:sz w:val="24"/>
          <w:szCs w:val="22"/>
          <w:lang w:val="fr-CA"/>
        </w:rPr>
      </w:pPr>
      <w:r>
        <w:rPr>
          <w:sz w:val="24"/>
          <w:szCs w:val="22"/>
          <w:lang w:val="fr-CA"/>
        </w:rPr>
        <w:t>Centre de gestion</w:t>
      </w:r>
    </w:p>
    <w:p w14:paraId="7616BA58" w14:textId="77777777" w:rsidR="00E852C5" w:rsidRDefault="00E852C5" w:rsidP="00E852C5">
      <w:pPr>
        <w:pStyle w:val="Corpsdetexte"/>
        <w:numPr>
          <w:ilvl w:val="0"/>
          <w:numId w:val="23"/>
        </w:numPr>
        <w:jc w:val="both"/>
        <w:rPr>
          <w:sz w:val="24"/>
          <w:szCs w:val="22"/>
          <w:lang w:val="fr-CA"/>
        </w:rPr>
      </w:pPr>
      <w:r>
        <w:rPr>
          <w:sz w:val="24"/>
          <w:szCs w:val="22"/>
          <w:lang w:val="fr-CA"/>
        </w:rPr>
        <w:t>Médecine du travail / psychologue du travail</w:t>
      </w:r>
    </w:p>
    <w:p w14:paraId="60F7C444" w14:textId="77777777" w:rsidR="00E852C5" w:rsidRDefault="00E852C5" w:rsidP="00E852C5">
      <w:pPr>
        <w:pStyle w:val="Corpsdetexte"/>
        <w:numPr>
          <w:ilvl w:val="0"/>
          <w:numId w:val="23"/>
        </w:numPr>
        <w:jc w:val="both"/>
        <w:rPr>
          <w:sz w:val="24"/>
          <w:szCs w:val="22"/>
          <w:lang w:val="fr-CA"/>
        </w:rPr>
      </w:pPr>
      <w:r>
        <w:rPr>
          <w:sz w:val="24"/>
          <w:szCs w:val="22"/>
          <w:lang w:val="fr-CA"/>
        </w:rPr>
        <w:t>Service prévention du CDG</w:t>
      </w:r>
    </w:p>
    <w:p w14:paraId="1C31601D" w14:textId="77777777" w:rsidR="00E852C5" w:rsidRDefault="00E852C5" w:rsidP="00E852C5">
      <w:pPr>
        <w:pStyle w:val="Corpsdetexte"/>
        <w:numPr>
          <w:ilvl w:val="0"/>
          <w:numId w:val="23"/>
        </w:numPr>
        <w:jc w:val="both"/>
        <w:rPr>
          <w:sz w:val="24"/>
          <w:szCs w:val="22"/>
          <w:lang w:val="fr-CA"/>
        </w:rPr>
      </w:pPr>
      <w:r>
        <w:rPr>
          <w:sz w:val="24"/>
          <w:szCs w:val="22"/>
          <w:lang w:val="fr-CA"/>
        </w:rPr>
        <w:t>Pôle RH notamment service prévention</w:t>
      </w:r>
    </w:p>
    <w:p w14:paraId="2D40F23B" w14:textId="77777777" w:rsidR="00E852C5" w:rsidRPr="008969DC" w:rsidRDefault="00E852C5" w:rsidP="00E852C5">
      <w:pPr>
        <w:pStyle w:val="Corpsdetexte"/>
        <w:numPr>
          <w:ilvl w:val="0"/>
          <w:numId w:val="23"/>
        </w:numPr>
        <w:jc w:val="both"/>
        <w:rPr>
          <w:sz w:val="24"/>
          <w:szCs w:val="22"/>
          <w:lang w:val="fr-CA"/>
        </w:rPr>
      </w:pPr>
      <w:r>
        <w:rPr>
          <w:sz w:val="24"/>
          <w:szCs w:val="22"/>
          <w:lang w:val="fr-CA"/>
        </w:rPr>
        <w:t>Direction générale</w:t>
      </w:r>
    </w:p>
    <w:p w14:paraId="11386E36"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3CE8CCA2" w14:textId="77777777"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49FF3379" w14:textId="77777777" w:rsidR="008969DC" w:rsidRPr="00FE5D8B" w:rsidRDefault="008969DC" w:rsidP="008969DC">
      <w:pPr>
        <w:pStyle w:val="Corpsdetexte"/>
        <w:ind w:left="720"/>
        <w:rPr>
          <w:rFonts w:asciiTheme="minorHAnsi" w:hAnsiTheme="minorHAnsi" w:cstheme="minorHAnsi"/>
          <w:lang w:val="fr-CA"/>
        </w:rPr>
      </w:pPr>
    </w:p>
    <w:p w14:paraId="5E6693E1" w14:textId="77777777" w:rsidR="00913C9D" w:rsidRPr="00FE5D8B" w:rsidRDefault="00913C9D">
      <w:pPr>
        <w:rPr>
          <w:rFonts w:asciiTheme="minorHAnsi" w:hAnsiTheme="minorHAnsi" w:cstheme="minorHAnsi"/>
          <w:b/>
          <w:szCs w:val="24"/>
          <w:lang w:val="fr-CA"/>
        </w:rPr>
      </w:pPr>
    </w:p>
    <w:p w14:paraId="2044004C"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6BCC2A1D" w14:textId="77777777"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i</w:t>
        </w:r>
        <w:r w:rsidR="00947094" w:rsidRPr="00FE5D8B">
          <w:rPr>
            <w:rFonts w:asciiTheme="minorHAnsi" w:hAnsiTheme="minorHAnsi" w:cstheme="minorHAnsi"/>
            <w:noProof/>
            <w:webHidden/>
          </w:rPr>
          <w:fldChar w:fldCharType="end"/>
        </w:r>
      </w:hyperlink>
    </w:p>
    <w:p w14:paraId="127897D2" w14:textId="77777777" w:rsidR="00947094" w:rsidRPr="00FE5D8B" w:rsidRDefault="00B06CE0">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3764FB60" w14:textId="77777777" w:rsidR="00947094" w:rsidRPr="00FE5D8B" w:rsidRDefault="00B06CE0">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380C7289" w14:textId="77777777" w:rsidR="00947094" w:rsidRPr="00FE5D8B" w:rsidRDefault="00B06CE0">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5092B162" w14:textId="77777777" w:rsidR="00947094" w:rsidRPr="00FE5D8B" w:rsidRDefault="00B06CE0">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26ABDE9C" w14:textId="77777777" w:rsidR="00947094" w:rsidRPr="00FE5D8B" w:rsidRDefault="00B06CE0">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A87D0A1" w14:textId="77777777" w:rsidR="00947094" w:rsidRPr="00FE5D8B" w:rsidRDefault="00B06CE0">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375B6EAE"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49B1D9E9" w14:textId="77777777" w:rsidR="00913C9D" w:rsidRPr="00FE5D8B" w:rsidRDefault="00913C9D">
      <w:pPr>
        <w:pStyle w:val="Tabledesillustrations"/>
        <w:rPr>
          <w:rFonts w:asciiTheme="minorHAnsi" w:hAnsiTheme="minorHAnsi" w:cstheme="minorHAnsi"/>
          <w:szCs w:val="24"/>
        </w:rPr>
      </w:pPr>
    </w:p>
    <w:p w14:paraId="47018B2C"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3"/>
          <w:footerReference w:type="first" r:id="rId14"/>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2144F46C" w14:textId="77777777"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6D619A1D" w14:textId="182E1D3E" w:rsidR="00E75FD4" w:rsidRPr="00E852C5" w:rsidRDefault="00913C9D" w:rsidP="00252272">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 xml:space="preserve">Le présent énoncé des exigences </w:t>
      </w:r>
      <w:r w:rsidR="00D278B2" w:rsidRPr="00E852C5">
        <w:rPr>
          <w:rFonts w:asciiTheme="minorHAnsi" w:hAnsiTheme="minorHAnsi" w:cstheme="minorHAnsi"/>
          <w:sz w:val="24"/>
          <w:szCs w:val="22"/>
          <w:lang w:val="fr-CA"/>
        </w:rPr>
        <w:t>vise</w:t>
      </w:r>
      <w:r w:rsidRPr="00E852C5">
        <w:rPr>
          <w:rFonts w:asciiTheme="minorHAnsi" w:hAnsiTheme="minorHAnsi" w:cstheme="minorHAnsi"/>
          <w:sz w:val="24"/>
          <w:szCs w:val="22"/>
          <w:lang w:val="fr-CA"/>
        </w:rPr>
        <w:t xml:space="preserve"> à demander </w:t>
      </w:r>
      <w:r w:rsidR="00750683" w:rsidRPr="00E852C5">
        <w:rPr>
          <w:rFonts w:asciiTheme="minorHAnsi" w:hAnsiTheme="minorHAnsi" w:cstheme="minorHAnsi"/>
          <w:sz w:val="24"/>
          <w:szCs w:val="22"/>
          <w:lang w:val="fr-CA"/>
        </w:rPr>
        <w:t>l’approbation du Bureau de la Communauté de Communes Ambert Livradois</w:t>
      </w:r>
      <w:r w:rsidR="000D6A53" w:rsidRPr="00E852C5">
        <w:rPr>
          <w:rFonts w:asciiTheme="minorHAnsi" w:hAnsiTheme="minorHAnsi" w:cstheme="minorHAnsi"/>
          <w:sz w:val="24"/>
          <w:szCs w:val="22"/>
          <w:lang w:val="fr-CA"/>
        </w:rPr>
        <w:t xml:space="preserve"> </w:t>
      </w:r>
      <w:r w:rsidR="00750683" w:rsidRPr="00E852C5">
        <w:rPr>
          <w:rFonts w:asciiTheme="minorHAnsi" w:hAnsiTheme="minorHAnsi" w:cstheme="minorHAnsi"/>
          <w:sz w:val="24"/>
          <w:szCs w:val="22"/>
          <w:lang w:val="fr-CA"/>
        </w:rPr>
        <w:t xml:space="preserve">Forez (CCALF) </w:t>
      </w:r>
      <w:r w:rsidR="00DE5373" w:rsidRPr="00E852C5">
        <w:rPr>
          <w:rFonts w:asciiTheme="minorHAnsi" w:hAnsiTheme="minorHAnsi" w:cstheme="minorHAnsi"/>
          <w:sz w:val="24"/>
          <w:szCs w:val="22"/>
          <w:lang w:val="fr-CA"/>
        </w:rPr>
        <w:t xml:space="preserve">pour </w:t>
      </w:r>
      <w:r w:rsidR="00A01B75" w:rsidRPr="00E852C5">
        <w:rPr>
          <w:rFonts w:asciiTheme="minorHAnsi" w:hAnsiTheme="minorHAnsi" w:cstheme="minorHAnsi"/>
          <w:sz w:val="24"/>
          <w:szCs w:val="22"/>
          <w:lang w:val="fr-CA"/>
        </w:rPr>
        <w:t xml:space="preserve">permettre </w:t>
      </w:r>
      <w:r w:rsidR="00E852C5" w:rsidRPr="00E852C5">
        <w:rPr>
          <w:rFonts w:asciiTheme="minorHAnsi" w:hAnsiTheme="minorHAnsi" w:cstheme="minorHAnsi"/>
          <w:sz w:val="24"/>
          <w:szCs w:val="22"/>
          <w:lang w:val="fr-CA"/>
        </w:rPr>
        <w:t>l’élaboration et mise en œuvre d’un plan d’action relatif à l’égalité professionnelle</w:t>
      </w:r>
    </w:p>
    <w:p w14:paraId="5462444B" w14:textId="77777777" w:rsidR="00BD650C" w:rsidRPr="00E852C5" w:rsidRDefault="00BD650C" w:rsidP="00252272">
      <w:pPr>
        <w:pStyle w:val="Corpsdetexte"/>
        <w:jc w:val="both"/>
        <w:rPr>
          <w:rFonts w:asciiTheme="minorHAnsi" w:hAnsiTheme="minorHAnsi" w:cstheme="minorHAnsi"/>
          <w:sz w:val="24"/>
          <w:szCs w:val="22"/>
          <w:lang w:val="fr-CA"/>
        </w:rPr>
      </w:pPr>
    </w:p>
    <w:p w14:paraId="1C72040A" w14:textId="77777777" w:rsidR="00E852C5" w:rsidRPr="00E852C5" w:rsidRDefault="00E852C5" w:rsidP="00E852C5">
      <w:pPr>
        <w:rPr>
          <w:rFonts w:asciiTheme="minorHAnsi" w:hAnsiTheme="minorHAnsi" w:cstheme="minorHAnsi"/>
          <w:b/>
          <w:bCs/>
          <w:sz w:val="24"/>
          <w:szCs w:val="22"/>
          <w:lang w:val="fr-CA"/>
        </w:rPr>
      </w:pPr>
      <w:r w:rsidRPr="00E852C5">
        <w:rPr>
          <w:rFonts w:asciiTheme="minorHAnsi" w:hAnsiTheme="minorHAnsi" w:cstheme="minorHAnsi"/>
          <w:b/>
          <w:bCs/>
          <w:sz w:val="24"/>
          <w:szCs w:val="22"/>
          <w:lang w:val="fr-CA"/>
        </w:rPr>
        <w:t xml:space="preserve">Objectifs de l’établissement : </w:t>
      </w:r>
    </w:p>
    <w:p w14:paraId="5D11B5F1" w14:textId="77777777" w:rsidR="00E852C5" w:rsidRPr="00E852C5" w:rsidRDefault="00E852C5" w:rsidP="00E852C5">
      <w:pPr>
        <w:rPr>
          <w:rFonts w:asciiTheme="minorHAnsi" w:hAnsiTheme="minorHAnsi" w:cstheme="minorHAnsi"/>
          <w:sz w:val="24"/>
          <w:szCs w:val="22"/>
          <w:lang w:val="fr-CA"/>
        </w:rPr>
      </w:pPr>
      <w:r w:rsidRPr="00E852C5">
        <w:rPr>
          <w:rFonts w:asciiTheme="minorHAnsi" w:hAnsiTheme="minorHAnsi" w:cstheme="minorHAnsi"/>
          <w:sz w:val="24"/>
          <w:szCs w:val="22"/>
          <w:lang w:val="fr-CA"/>
        </w:rPr>
        <w:t xml:space="preserve"> </w:t>
      </w:r>
    </w:p>
    <w:p w14:paraId="0B7DD53E" w14:textId="77777777" w:rsidR="00E852C5" w:rsidRPr="00E852C5" w:rsidRDefault="00E852C5" w:rsidP="00E852C5">
      <w:pPr>
        <w:pStyle w:val="Paragraphedelis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Lutter contre les actes de violence, de discrimination, de harcèlement et d’agissements sexistes</w:t>
      </w:r>
    </w:p>
    <w:p w14:paraId="756A5435" w14:textId="77777777" w:rsidR="00E852C5" w:rsidRPr="00E852C5" w:rsidRDefault="00E852C5" w:rsidP="00E852C5">
      <w:pPr>
        <w:pStyle w:val="Paragraphedelis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Permettre la parole et la prise en charge des personnes s’estimant victimes</w:t>
      </w:r>
    </w:p>
    <w:p w14:paraId="0B2D674C" w14:textId="77777777" w:rsidR="00E852C5" w:rsidRPr="00E852C5" w:rsidRDefault="00E852C5" w:rsidP="00E852C5">
      <w:pPr>
        <w:pStyle w:val="Paragraphedelis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Répondre à l’obligation légale de mise en place d’un dispositif de signalement des actes de violence, de discrimination, de harcèlement et d’agissements sexistes fixée par le décret 2020-256 du 13 mars 2020</w:t>
      </w:r>
    </w:p>
    <w:p w14:paraId="67E093C4" w14:textId="77777777" w:rsidR="00E852C5" w:rsidRPr="00E852C5" w:rsidRDefault="00E852C5" w:rsidP="00E852C5">
      <w:pPr>
        <w:pStyle w:val="Paragraphedelis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Répondre à l’obligation légale de mise en place d’un plan d’action pluriannuel en faveur de l’égalité professionnelle inférieur à 3 ans fixée par le décret 2020-528 du 4 mai 2020 dont le dispositif de signalement est l’une des composantes.</w:t>
      </w:r>
    </w:p>
    <w:p w14:paraId="2D91B925" w14:textId="77777777" w:rsidR="00E852C5" w:rsidRPr="00E852C5" w:rsidRDefault="00E852C5" w:rsidP="00E852C5">
      <w:pPr>
        <w:pStyle w:val="Paragraphedeliste"/>
        <w:jc w:val="both"/>
        <w:rPr>
          <w:rFonts w:asciiTheme="minorHAnsi" w:hAnsiTheme="minorHAnsi" w:cstheme="minorHAnsi"/>
          <w:sz w:val="24"/>
          <w:szCs w:val="22"/>
          <w:lang w:val="fr-CA"/>
        </w:rPr>
      </w:pPr>
    </w:p>
    <w:p w14:paraId="4A788C58" w14:textId="77777777" w:rsidR="00E852C5" w:rsidRPr="00E852C5" w:rsidRDefault="00E852C5" w:rsidP="00E852C5">
      <w:pPr>
        <w:pStyle w:val="Paragraphedeliste"/>
        <w:jc w:val="both"/>
        <w:rPr>
          <w:rFonts w:asciiTheme="minorHAnsi" w:hAnsiTheme="minorHAnsi" w:cstheme="minorHAnsi"/>
          <w:sz w:val="24"/>
          <w:szCs w:val="22"/>
          <w:lang w:val="fr-CA"/>
        </w:rPr>
      </w:pPr>
    </w:p>
    <w:p w14:paraId="0DACE5E3" w14:textId="77777777" w:rsidR="00E852C5" w:rsidRPr="00E852C5" w:rsidRDefault="00E852C5" w:rsidP="00E852C5">
      <w:pPr>
        <w:pStyle w:val="Corpsdetexte"/>
        <w:jc w:val="both"/>
        <w:rPr>
          <w:rFonts w:asciiTheme="minorHAnsi" w:hAnsiTheme="minorHAnsi" w:cstheme="minorHAnsi"/>
          <w:b/>
          <w:bCs/>
          <w:sz w:val="24"/>
          <w:szCs w:val="22"/>
          <w:lang w:val="fr-CA"/>
        </w:rPr>
      </w:pPr>
      <w:r w:rsidRPr="00E852C5">
        <w:rPr>
          <w:rFonts w:asciiTheme="minorHAnsi" w:hAnsiTheme="minorHAnsi" w:cstheme="minorHAnsi"/>
          <w:b/>
          <w:bCs/>
          <w:sz w:val="24"/>
          <w:szCs w:val="22"/>
          <w:lang w:val="fr-CA"/>
        </w:rPr>
        <w:t>Objectifs du dispositif de signalement :</w:t>
      </w:r>
    </w:p>
    <w:p w14:paraId="3CFBE7BE" w14:textId="77777777"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Recueillir les signalements par les agents s’estimant victimes</w:t>
      </w:r>
    </w:p>
    <w:p w14:paraId="26F6394B" w14:textId="77777777"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Orienter les agents s’estimant victimes vers les professionnels compétents chargés de leur accompagnement et de leur soutien</w:t>
      </w:r>
    </w:p>
    <w:p w14:paraId="4F00C0D8" w14:textId="77777777"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Orienter les agents s’estimant victimes ou témoins vers les autorités compétentes pour prendre toutes les mesures de protection fonctionnelle appropriées et assurer le traitement des faits signalés, notamment par la réalisation d’une enquête administrative.</w:t>
      </w:r>
    </w:p>
    <w:p w14:paraId="108D118C" w14:textId="77777777" w:rsidR="00D33739" w:rsidRPr="00FE5D8B" w:rsidRDefault="00D33739" w:rsidP="00252272">
      <w:pPr>
        <w:pStyle w:val="Corpsdetexte"/>
        <w:jc w:val="both"/>
        <w:rPr>
          <w:rFonts w:asciiTheme="minorHAnsi" w:hAnsiTheme="minorHAnsi" w:cstheme="minorHAnsi"/>
          <w:lang w:val="fr-CA"/>
        </w:rPr>
      </w:pPr>
    </w:p>
    <w:p w14:paraId="0EE6D1BF" w14:textId="7777777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1081E782"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En théorie ce décret devait entrer en application au 1er mai 2020. En accord avec le comité technique, il a été proposé de maintenir jusqu’au 31/12/2020 le dispositif mis en place par le règlement intérieur en 2018 afin de laisser le temps à l’établissement de travailler à un dispositif de signalement correspondant à la nouvelle règlementation.</w:t>
      </w:r>
    </w:p>
    <w:p w14:paraId="629B1A9A" w14:textId="77777777" w:rsidR="00E852C5" w:rsidRPr="00E852C5" w:rsidRDefault="00E852C5" w:rsidP="00E852C5">
      <w:pPr>
        <w:ind w:firstLine="720"/>
        <w:jc w:val="both"/>
        <w:rPr>
          <w:rFonts w:asciiTheme="minorHAnsi" w:hAnsiTheme="minorHAnsi" w:cstheme="minorHAnsi"/>
          <w:sz w:val="24"/>
          <w:szCs w:val="22"/>
          <w:lang w:val="fr-CA"/>
        </w:rPr>
      </w:pPr>
    </w:p>
    <w:p w14:paraId="73585E82"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Le dispositif prévu par la loi va bien au-delà des fiches de signalements et oblige à une véritable politique d’accompagnements par des professionnels. Ce dispositif est une partie du plan d’action en faveur de l’égalité professionnelle.</w:t>
      </w:r>
    </w:p>
    <w:p w14:paraId="202E95E4"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lastRenderedPageBreak/>
        <w:t>La nécessité de confidentialité des données afin de permettre la parole des victimes incite à rechercher des partenariats extérieurs, voire des mutualisations notamment auprès du centre de gestion.</w:t>
      </w:r>
    </w:p>
    <w:p w14:paraId="36391EA0"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L'acte instituant les procédures mentionnées précise les modalités selon lesquelles l'auteur du signalement :</w:t>
      </w:r>
    </w:p>
    <w:p w14:paraId="4858AEF3"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1° Adresse son signalement ;</w:t>
      </w:r>
    </w:p>
    <w:p w14:paraId="0D3C7D6B"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2° Fournit les faits ainsi que, s'il en dispose, les informations ou documents, quels que soient leur forme ou leur support, de nature à étayer son signalement ;</w:t>
      </w:r>
    </w:p>
    <w:p w14:paraId="64A41CE1"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3° Fournit les éléments permettant, le cas échéant, un échange avec le destinataire du signalement.</w:t>
      </w:r>
    </w:p>
    <w:p w14:paraId="06F4C79F"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br/>
        <w:t>II. - Cet acte précise également les mesures qui incombent à l'autorité compétente concernant la procédure de recueil :</w:t>
      </w:r>
    </w:p>
    <w:p w14:paraId="779AD71B"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1° Pour informer sans délai l'auteur du signalement de la réception de celui-ci, ainsi que des modalités suivant lesquelles il est informé des suites qui y sont données ;</w:t>
      </w:r>
    </w:p>
    <w:p w14:paraId="0A3B176E"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2° Pour garantir la stricte confidentialité de l'identité de l'auteur du signalement et des personnes visées ainsi que des faits faisant l'objet de ce signalement, y compris en cas de communication aux personnes ayant besoin d'en connaître pour le traitement du signalement.</w:t>
      </w:r>
    </w:p>
    <w:p w14:paraId="17FE8ABD"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Il mentionne, le cas échéant, l'existence d'un traitement automatisé des signalements mis en œuvre (conformément au règlement (UE) 2016/679 du 27 avril 2016).</w:t>
      </w:r>
    </w:p>
    <w:p w14:paraId="1B1D3BD8"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III. - Ce même acte précise la nature des dispositifs mis en œuvre pour la prise en charge, par les services et professionnels compétents, des agents victimes des actes ou agissements ainsi que les modalités par lesquelles ils ont accès à ces services et professionnels.</w:t>
      </w:r>
    </w:p>
    <w:p w14:paraId="4B8D9660" w14:textId="77777777" w:rsidR="00E852C5" w:rsidRPr="00E852C5" w:rsidRDefault="00E852C5" w:rsidP="00E852C5">
      <w:pPr>
        <w:ind w:firstLine="720"/>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IV. - Il précise enfin les modalités de transmission du signalement à l'autorité compétente pour prendre toute mesure de protection au bénéfice de l'agent, victime ou témoin des actes ou agissements mentionnés au même article, la nature de ces mesures de protection, ainsi que les modalités par lesquelles elle s'assure du traitement des faits signalés.</w:t>
      </w:r>
    </w:p>
    <w:p w14:paraId="28FA4F65" w14:textId="77777777" w:rsidR="00D33739" w:rsidRPr="00FE5D8B" w:rsidRDefault="00D33739" w:rsidP="00E852C5">
      <w:pPr>
        <w:ind w:firstLine="720"/>
        <w:jc w:val="both"/>
        <w:rPr>
          <w:rFonts w:asciiTheme="minorHAnsi" w:hAnsiTheme="minorHAnsi" w:cstheme="minorHAnsi"/>
          <w:sz w:val="24"/>
          <w:szCs w:val="22"/>
          <w:lang w:val="fr-CA"/>
        </w:rPr>
      </w:pPr>
    </w:p>
    <w:p w14:paraId="25C49A54" w14:textId="77777777" w:rsidR="00D33739" w:rsidRPr="00FE5D8B" w:rsidRDefault="00D33739" w:rsidP="00252272">
      <w:pPr>
        <w:pStyle w:val="Corpsdetexte"/>
        <w:jc w:val="both"/>
        <w:rPr>
          <w:rFonts w:asciiTheme="minorHAnsi" w:hAnsiTheme="minorHAnsi" w:cstheme="minorHAnsi"/>
          <w:sz w:val="24"/>
          <w:szCs w:val="22"/>
          <w:lang w:val="fr-CA"/>
        </w:rPr>
      </w:pPr>
    </w:p>
    <w:p w14:paraId="02614AAE" w14:textId="7777777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0" w:name="_Toc18671684"/>
      <w:r w:rsidRPr="00FE5D8B">
        <w:rPr>
          <w:rFonts w:asciiTheme="minorHAnsi" w:hAnsiTheme="minorHAnsi" w:cstheme="minorHAnsi"/>
          <w:color w:val="006A76"/>
          <w:sz w:val="24"/>
          <w:szCs w:val="24"/>
          <w:lang w:val="fr-CA"/>
        </w:rPr>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0"/>
    </w:p>
    <w:p w14:paraId="43B0ECC2"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 xml:space="preserve">La mise en place d’un dispositif de signalement qui respecte la confidentialité des signalements et assure la bonne orientation des agents s’estimant victime vers les professionnels pouvant les accompagner parait difficile en interne. </w:t>
      </w:r>
    </w:p>
    <w:p w14:paraId="75779A27"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lastRenderedPageBreak/>
        <w:t>Dès lors, au vu des travaux du groupe de travail, il conviendra soit de former le personnel à recueillir la parole des personnes s’estimant victime, soit à rechercher un partenariat en vue d’une gestion mutualisée plus propice à la confidentialité et la neutralité.</w:t>
      </w:r>
    </w:p>
    <w:p w14:paraId="1630D7B0" w14:textId="77777777" w:rsidR="008F6152" w:rsidRPr="00FE5D8B" w:rsidRDefault="008F6152" w:rsidP="00252272">
      <w:pPr>
        <w:pStyle w:val="Corpsdetexte"/>
        <w:ind w:left="360"/>
        <w:jc w:val="both"/>
        <w:rPr>
          <w:rFonts w:asciiTheme="minorHAnsi" w:hAnsiTheme="minorHAnsi" w:cstheme="minorHAnsi"/>
          <w:sz w:val="24"/>
          <w:szCs w:val="22"/>
          <w:lang w:val="fr-CA"/>
        </w:rPr>
      </w:pPr>
    </w:p>
    <w:p w14:paraId="6ACF3D3F" w14:textId="77777777"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5"/>
      <w:r w:rsidRPr="00FE5D8B">
        <w:rPr>
          <w:rFonts w:asciiTheme="minorHAnsi" w:hAnsiTheme="minorHAnsi" w:cstheme="minorHAnsi"/>
          <w:color w:val="006A76"/>
          <w:sz w:val="24"/>
          <w:szCs w:val="24"/>
          <w:lang w:val="fr-CA"/>
        </w:rPr>
        <w:t>RISQUES LIÉS À LA NON-RÉALISATION DU PROJET</w:t>
      </w:r>
      <w:bookmarkEnd w:id="1"/>
    </w:p>
    <w:p w14:paraId="2B6D9093" w14:textId="77777777" w:rsidR="00D33739" w:rsidRPr="00FE5D8B" w:rsidRDefault="00D33739" w:rsidP="00252272">
      <w:pPr>
        <w:pStyle w:val="Corpsdetexte"/>
        <w:jc w:val="both"/>
        <w:rPr>
          <w:rFonts w:asciiTheme="minorHAnsi" w:hAnsiTheme="minorHAnsi" w:cstheme="minorHAnsi"/>
          <w:sz w:val="20"/>
          <w:szCs w:val="18"/>
          <w:lang w:val="fr-CA"/>
        </w:rPr>
      </w:pPr>
    </w:p>
    <w:p w14:paraId="14173713" w14:textId="112DE688"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Le décret ne prévoit pas de sanction spécifique en cas de défaut de dispositif de signalement des actes de violence, de discrimination, de harcèlement et d’agissements sexistes. Cependant ce dispositif est l’une des composantes du plan pluriannuel d’action relatif à l’égalité professionnelle. Or le défaut de transmission de ce plan et de ses différents volet</w:t>
      </w:r>
      <w:r w:rsidRPr="00E852C5">
        <w:rPr>
          <w:rFonts w:asciiTheme="minorHAnsi" w:hAnsiTheme="minorHAnsi" w:cstheme="minorHAnsi"/>
          <w:sz w:val="24"/>
          <w:szCs w:val="22"/>
          <w:lang w:val="fr-CA"/>
        </w:rPr>
        <w:t>s</w:t>
      </w:r>
      <w:r w:rsidRPr="00E852C5">
        <w:rPr>
          <w:rFonts w:asciiTheme="minorHAnsi" w:hAnsiTheme="minorHAnsi" w:cstheme="minorHAnsi"/>
          <w:sz w:val="24"/>
          <w:szCs w:val="22"/>
          <w:lang w:val="fr-CA"/>
        </w:rPr>
        <w:t xml:space="preserve"> est sanctionné d’une pénalité correspondant à 1% de la masse salariale globale de l’établissement.</w:t>
      </w:r>
    </w:p>
    <w:p w14:paraId="0EDFFBD2" w14:textId="77777777" w:rsidR="00947094" w:rsidRPr="00FE5D8B" w:rsidRDefault="00947094" w:rsidP="00252272">
      <w:pPr>
        <w:pStyle w:val="Corpsdetexte"/>
        <w:jc w:val="both"/>
        <w:rPr>
          <w:rFonts w:asciiTheme="minorHAnsi" w:hAnsiTheme="minorHAnsi" w:cstheme="minorHAnsi"/>
          <w:lang w:val="fr-CA"/>
        </w:rPr>
      </w:pPr>
    </w:p>
    <w:p w14:paraId="41CC6C4C" w14:textId="77777777" w:rsidR="00913C9D" w:rsidRPr="00FE5D8B" w:rsidRDefault="00FE5D8B" w:rsidP="00252272">
      <w:pPr>
        <w:pStyle w:val="Titre1"/>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t>CONSULTATION &amp; POUVOIR D'APPROBATION</w:t>
      </w:r>
      <w:bookmarkEnd w:id="2"/>
    </w:p>
    <w:p w14:paraId="2F800DAC"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 xml:space="preserve">Méthode proposée : </w:t>
      </w:r>
    </w:p>
    <w:p w14:paraId="5E99440B" w14:textId="289A299E"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 xml:space="preserve">Dans le cadre de </w:t>
      </w:r>
      <w:r w:rsidRPr="00E852C5">
        <w:rPr>
          <w:rFonts w:asciiTheme="minorHAnsi" w:hAnsiTheme="minorHAnsi" w:cstheme="minorHAnsi"/>
          <w:sz w:val="24"/>
          <w:szCs w:val="22"/>
          <w:u w:val="single"/>
          <w:lang w:val="fr-CA"/>
        </w:rPr>
        <w:t>groupe de travail</w:t>
      </w:r>
      <w:r w:rsidRPr="00E852C5">
        <w:rPr>
          <w:rFonts w:asciiTheme="minorHAnsi" w:hAnsiTheme="minorHAnsi" w:cstheme="minorHAnsi"/>
          <w:sz w:val="24"/>
          <w:szCs w:val="22"/>
          <w:lang w:val="fr-CA"/>
        </w:rPr>
        <w:t xml:space="preserve"> réunissant les membres du comité technique et du CHSCT il conviendra </w:t>
      </w:r>
      <w:r>
        <w:rPr>
          <w:rFonts w:asciiTheme="minorHAnsi" w:hAnsiTheme="minorHAnsi" w:cstheme="minorHAnsi"/>
          <w:sz w:val="24"/>
          <w:szCs w:val="22"/>
          <w:lang w:val="fr-CA"/>
        </w:rPr>
        <w:t xml:space="preserve">de </w:t>
      </w:r>
      <w:r w:rsidRPr="00E852C5">
        <w:rPr>
          <w:rFonts w:asciiTheme="minorHAnsi" w:hAnsiTheme="minorHAnsi" w:cstheme="minorHAnsi"/>
          <w:sz w:val="24"/>
          <w:szCs w:val="22"/>
          <w:lang w:val="fr-CA"/>
        </w:rPr>
        <w:t xml:space="preserve">: </w:t>
      </w:r>
    </w:p>
    <w:p w14:paraId="38D43B8E" w14:textId="721B5544"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Pr>
          <w:rFonts w:asciiTheme="minorHAnsi" w:hAnsiTheme="minorHAnsi" w:cstheme="minorHAnsi"/>
          <w:sz w:val="24"/>
          <w:szCs w:val="22"/>
          <w:lang w:val="fr-CA"/>
        </w:rPr>
        <w:t>É</w:t>
      </w:r>
      <w:r w:rsidRPr="00E852C5">
        <w:rPr>
          <w:rFonts w:asciiTheme="minorHAnsi" w:hAnsiTheme="minorHAnsi" w:cstheme="minorHAnsi"/>
          <w:sz w:val="24"/>
          <w:szCs w:val="22"/>
          <w:lang w:val="fr-CA"/>
        </w:rPr>
        <w:t>tablir</w:t>
      </w:r>
      <w:r w:rsidRPr="00E852C5">
        <w:rPr>
          <w:rFonts w:asciiTheme="minorHAnsi" w:hAnsiTheme="minorHAnsi" w:cstheme="minorHAnsi"/>
          <w:sz w:val="24"/>
          <w:szCs w:val="22"/>
          <w:lang w:val="fr-CA"/>
        </w:rPr>
        <w:t xml:space="preserve"> un état des lieux des dispositifs de signalement existants au sein d’Ambert Livradois Forez communauté de communes.</w:t>
      </w:r>
    </w:p>
    <w:p w14:paraId="40FD7D18" w14:textId="6D43F0BB"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Déterminer les possibilités de gestion de ce dispositif en interne</w:t>
      </w:r>
    </w:p>
    <w:p w14:paraId="57B4D8A2" w14:textId="76C52538"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Pr>
          <w:rFonts w:asciiTheme="minorHAnsi" w:hAnsiTheme="minorHAnsi" w:cstheme="minorHAnsi"/>
          <w:sz w:val="24"/>
          <w:szCs w:val="22"/>
          <w:lang w:val="fr-CA"/>
        </w:rPr>
        <w:t>R</w:t>
      </w:r>
      <w:r w:rsidRPr="00E852C5">
        <w:rPr>
          <w:rFonts w:asciiTheme="minorHAnsi" w:hAnsiTheme="minorHAnsi" w:cstheme="minorHAnsi"/>
          <w:sz w:val="24"/>
          <w:szCs w:val="22"/>
          <w:lang w:val="fr-CA"/>
        </w:rPr>
        <w:t>echercher les partenariats possibles, soit auprès du CDG soit auprès d’autres collectivités et établissements partenaires</w:t>
      </w:r>
    </w:p>
    <w:p w14:paraId="4FE7B3AA" w14:textId="6E26F651"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Déterminer les différents scénarios possibles, leurs modalités et les coûts afférents</w:t>
      </w:r>
    </w:p>
    <w:p w14:paraId="06E4616B" w14:textId="77777777" w:rsidR="00E852C5" w:rsidRPr="00E852C5" w:rsidRDefault="00E852C5" w:rsidP="00E852C5">
      <w:pPr>
        <w:pStyle w:val="Corpsdetexte"/>
        <w:jc w:val="both"/>
        <w:rPr>
          <w:rFonts w:asciiTheme="minorHAnsi" w:hAnsiTheme="minorHAnsi" w:cstheme="minorHAnsi"/>
          <w:sz w:val="24"/>
          <w:szCs w:val="22"/>
          <w:lang w:val="fr-CA"/>
        </w:rPr>
      </w:pPr>
    </w:p>
    <w:p w14:paraId="027A057D"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 xml:space="preserve">Soumettre à l’approbation du </w:t>
      </w:r>
      <w:r w:rsidRPr="00E852C5">
        <w:rPr>
          <w:rFonts w:asciiTheme="minorHAnsi" w:hAnsiTheme="minorHAnsi" w:cstheme="minorHAnsi"/>
          <w:sz w:val="24"/>
          <w:szCs w:val="22"/>
          <w:u w:val="single"/>
          <w:lang w:val="fr-CA"/>
        </w:rPr>
        <w:t>bureau</w:t>
      </w:r>
      <w:r w:rsidRPr="00E852C5">
        <w:rPr>
          <w:rFonts w:asciiTheme="minorHAnsi" w:hAnsiTheme="minorHAnsi" w:cstheme="minorHAnsi"/>
          <w:sz w:val="24"/>
          <w:szCs w:val="22"/>
          <w:lang w:val="fr-CA"/>
        </w:rPr>
        <w:t xml:space="preserve"> les propositions du groupe de travail</w:t>
      </w:r>
    </w:p>
    <w:p w14:paraId="1E31480E"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 xml:space="preserve">Faire valider le dispositif par le </w:t>
      </w:r>
      <w:r w:rsidRPr="00E852C5">
        <w:rPr>
          <w:rFonts w:asciiTheme="minorHAnsi" w:hAnsiTheme="minorHAnsi" w:cstheme="minorHAnsi"/>
          <w:sz w:val="24"/>
          <w:szCs w:val="22"/>
          <w:u w:val="single"/>
          <w:lang w:val="fr-CA"/>
        </w:rPr>
        <w:t>comité technique</w:t>
      </w:r>
    </w:p>
    <w:p w14:paraId="63A60B0A"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 xml:space="preserve">Faire valider les propositions du comité technique au </w:t>
      </w:r>
      <w:r w:rsidRPr="00E852C5">
        <w:rPr>
          <w:rFonts w:asciiTheme="minorHAnsi" w:hAnsiTheme="minorHAnsi" w:cstheme="minorHAnsi"/>
          <w:sz w:val="24"/>
          <w:szCs w:val="22"/>
          <w:u w:val="single"/>
          <w:lang w:val="fr-CA"/>
        </w:rPr>
        <w:t>conseil communautaire</w:t>
      </w:r>
    </w:p>
    <w:p w14:paraId="74027A30"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 xml:space="preserve">Communiquer l’existence de ce dispositif à </w:t>
      </w:r>
      <w:r w:rsidRPr="00E852C5">
        <w:rPr>
          <w:rFonts w:asciiTheme="minorHAnsi" w:hAnsiTheme="minorHAnsi" w:cstheme="minorHAnsi"/>
          <w:sz w:val="24"/>
          <w:szCs w:val="22"/>
          <w:u w:val="single"/>
          <w:lang w:val="fr-CA"/>
        </w:rPr>
        <w:t>l’ensemble des agents</w:t>
      </w:r>
      <w:r w:rsidRPr="00E852C5">
        <w:rPr>
          <w:rFonts w:asciiTheme="minorHAnsi" w:hAnsiTheme="minorHAnsi" w:cstheme="minorHAnsi"/>
          <w:sz w:val="24"/>
          <w:szCs w:val="22"/>
          <w:lang w:val="fr-CA"/>
        </w:rPr>
        <w:t>.</w:t>
      </w:r>
    </w:p>
    <w:p w14:paraId="496170E0" w14:textId="77777777" w:rsidR="00913C9D" w:rsidRPr="00FE5D8B" w:rsidRDefault="00913C9D" w:rsidP="00252272">
      <w:pPr>
        <w:jc w:val="both"/>
        <w:rPr>
          <w:rFonts w:asciiTheme="minorHAnsi" w:hAnsiTheme="minorHAnsi" w:cstheme="minorHAnsi"/>
          <w:sz w:val="24"/>
          <w:szCs w:val="28"/>
          <w:lang w:val="fr-FR"/>
        </w:rPr>
      </w:pPr>
    </w:p>
    <w:p w14:paraId="3A34210F" w14:textId="77777777" w:rsidR="00A229C3" w:rsidRPr="00FE5D8B" w:rsidRDefault="00A229C3" w:rsidP="00252272">
      <w:pPr>
        <w:pStyle w:val="Titre1"/>
        <w:jc w:val="both"/>
        <w:rPr>
          <w:rFonts w:asciiTheme="minorHAnsi" w:hAnsiTheme="minorHAnsi" w:cstheme="minorHAnsi"/>
          <w:color w:val="006A76"/>
          <w:sz w:val="24"/>
          <w:szCs w:val="18"/>
          <w:lang w:val="fr-CA"/>
        </w:rPr>
      </w:pPr>
      <w:bookmarkStart w:id="3" w:name="_Toc18671687"/>
      <w:r w:rsidRPr="00FE5D8B">
        <w:rPr>
          <w:rFonts w:asciiTheme="minorHAnsi" w:hAnsiTheme="minorHAnsi" w:cstheme="minorHAnsi"/>
          <w:color w:val="006A76"/>
          <w:sz w:val="24"/>
          <w:szCs w:val="18"/>
          <w:lang w:val="fr-CA"/>
        </w:rPr>
        <w:lastRenderedPageBreak/>
        <w:t>F</w:t>
      </w:r>
      <w:bookmarkEnd w:id="3"/>
      <w:r w:rsidR="00FE5D8B" w:rsidRPr="00FE5D8B">
        <w:rPr>
          <w:rFonts w:asciiTheme="minorHAnsi" w:hAnsiTheme="minorHAnsi" w:cstheme="minorHAnsi"/>
          <w:color w:val="006A76"/>
          <w:sz w:val="24"/>
          <w:szCs w:val="18"/>
          <w:lang w:val="fr-CA"/>
        </w:rPr>
        <w:t>INANCEMENT</w:t>
      </w:r>
    </w:p>
    <w:p w14:paraId="7FE452D1"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Le coût de réalisation du plan d’action correspond au coût agent pour assister aux groupes de travail ainsi qu’à la réunion du comité technique de validation.</w:t>
      </w:r>
    </w:p>
    <w:p w14:paraId="754A1C6D" w14:textId="77777777"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4 demi-journées de groupes de travail</w:t>
      </w:r>
    </w:p>
    <w:p w14:paraId="37316F38" w14:textId="77777777"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1 réunion du comité technique</w:t>
      </w:r>
    </w:p>
    <w:p w14:paraId="7E84874A" w14:textId="77777777" w:rsidR="00E852C5" w:rsidRPr="00E852C5" w:rsidRDefault="00E852C5" w:rsidP="00E852C5">
      <w:pPr>
        <w:pStyle w:val="Corpsdetexte"/>
        <w:jc w:val="both"/>
        <w:rPr>
          <w:rFonts w:asciiTheme="minorHAnsi" w:hAnsiTheme="minorHAnsi" w:cstheme="minorHAnsi"/>
          <w:sz w:val="24"/>
          <w:szCs w:val="22"/>
          <w:lang w:val="fr-CA"/>
        </w:rPr>
      </w:pPr>
    </w:p>
    <w:p w14:paraId="3D471AD1"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Le coût de mise en œuvre du plan d’action sera déterminé en fonction des actions proposées par le groupe de travail et sera soumis à l’approbation du bureau puis du conseil communautaire.</w:t>
      </w:r>
    </w:p>
    <w:p w14:paraId="33D41AB4" w14:textId="24E1BD0F" w:rsidR="00E852C5" w:rsidRPr="00FE5D8B" w:rsidRDefault="00E852C5" w:rsidP="00E852C5">
      <w:pPr>
        <w:pStyle w:val="Titre1"/>
        <w:jc w:val="both"/>
        <w:rPr>
          <w:rFonts w:asciiTheme="minorHAnsi" w:hAnsiTheme="minorHAnsi" w:cstheme="minorHAnsi"/>
          <w:color w:val="006A76"/>
          <w:sz w:val="24"/>
          <w:szCs w:val="18"/>
          <w:lang w:val="fr-CA"/>
        </w:rPr>
      </w:pPr>
      <w:r>
        <w:rPr>
          <w:rFonts w:asciiTheme="minorHAnsi" w:hAnsiTheme="minorHAnsi" w:cstheme="minorHAnsi"/>
          <w:color w:val="006A76"/>
          <w:sz w:val="24"/>
          <w:szCs w:val="18"/>
          <w:lang w:val="fr-CA"/>
        </w:rPr>
        <w:t>CALENDRIER</w:t>
      </w:r>
    </w:p>
    <w:p w14:paraId="10AFE4BB"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Élaboration du dispositif de signalement :</w:t>
      </w:r>
    </w:p>
    <w:p w14:paraId="46E69F51" w14:textId="1F60919F"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À</w:t>
      </w:r>
      <w:r w:rsidRPr="00E852C5">
        <w:rPr>
          <w:rFonts w:asciiTheme="minorHAnsi" w:hAnsiTheme="minorHAnsi" w:cstheme="minorHAnsi"/>
          <w:sz w:val="24"/>
          <w:szCs w:val="22"/>
          <w:lang w:val="fr-CA"/>
        </w:rPr>
        <w:t xml:space="preserve"> compter du 18 septembre 2020 pour les groupes de travail dédiés </w:t>
      </w:r>
    </w:p>
    <w:p w14:paraId="187AC7E9" w14:textId="77777777"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Validation prévue avant la fin de l’année 2020 selon les partenariats</w:t>
      </w:r>
    </w:p>
    <w:p w14:paraId="3953F52F" w14:textId="77777777" w:rsidR="00E852C5" w:rsidRPr="00E852C5" w:rsidRDefault="00E852C5" w:rsidP="00E852C5">
      <w:pPr>
        <w:pStyle w:val="Corpsdetexte"/>
        <w:numPr>
          <w:ilvl w:val="0"/>
          <w:numId w:val="19"/>
        </w:numPr>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Date limite légale 31/12/2020 (pouvant faire l’objet d’un report jusqu’au 1er mars 2021 dans le cadre du plan d’action pluriannuel relatif à l’égalité professionnelle)</w:t>
      </w:r>
    </w:p>
    <w:p w14:paraId="64F1E71C" w14:textId="77777777" w:rsidR="00E852C5" w:rsidRPr="00E852C5" w:rsidRDefault="00E852C5" w:rsidP="00E852C5">
      <w:pPr>
        <w:pStyle w:val="Corpsdetexte"/>
        <w:jc w:val="both"/>
        <w:rPr>
          <w:rFonts w:asciiTheme="minorHAnsi" w:hAnsiTheme="minorHAnsi" w:cstheme="minorHAnsi"/>
          <w:sz w:val="24"/>
          <w:szCs w:val="22"/>
          <w:lang w:val="fr-CA"/>
        </w:rPr>
      </w:pPr>
    </w:p>
    <w:p w14:paraId="2F3C119D" w14:textId="77777777" w:rsidR="00E852C5" w:rsidRPr="00E852C5" w:rsidRDefault="00E852C5" w:rsidP="00E852C5">
      <w:pPr>
        <w:pStyle w:val="Corpsdetexte"/>
        <w:jc w:val="both"/>
        <w:rPr>
          <w:rFonts w:asciiTheme="minorHAnsi" w:hAnsiTheme="minorHAnsi" w:cstheme="minorHAnsi"/>
          <w:sz w:val="24"/>
          <w:szCs w:val="22"/>
          <w:lang w:val="fr-CA"/>
        </w:rPr>
      </w:pPr>
      <w:r w:rsidRPr="00E852C5">
        <w:rPr>
          <w:rFonts w:asciiTheme="minorHAnsi" w:hAnsiTheme="minorHAnsi" w:cstheme="minorHAnsi"/>
          <w:sz w:val="24"/>
          <w:szCs w:val="22"/>
          <w:lang w:val="fr-CA"/>
        </w:rPr>
        <w:t xml:space="preserve">Mise en œuvre du dispositif : à compter de janvier (ou mars) 2021 </w:t>
      </w:r>
    </w:p>
    <w:p w14:paraId="4B362654" w14:textId="77777777" w:rsidR="00046CEF" w:rsidRPr="00FE5D8B" w:rsidRDefault="00046CEF" w:rsidP="00252272">
      <w:pPr>
        <w:pStyle w:val="Corpsdetexte"/>
        <w:jc w:val="both"/>
        <w:rPr>
          <w:rFonts w:asciiTheme="minorHAnsi" w:hAnsiTheme="minorHAnsi" w:cstheme="minorHAnsi"/>
          <w:lang w:val="fr-CA"/>
        </w:rPr>
      </w:pPr>
    </w:p>
    <w:p w14:paraId="77693762" w14:textId="77777777" w:rsidR="00046CEF" w:rsidRPr="00FE5D8B" w:rsidRDefault="00046CEF" w:rsidP="00252272">
      <w:pPr>
        <w:pStyle w:val="Corpsdetexte"/>
        <w:jc w:val="both"/>
        <w:rPr>
          <w:rFonts w:asciiTheme="minorHAnsi" w:hAnsiTheme="minorHAnsi" w:cstheme="minorHAnsi"/>
          <w:lang w:val="fr-CA"/>
        </w:rPr>
      </w:pPr>
    </w:p>
    <w:p w14:paraId="1A7EA6C3" w14:textId="77777777" w:rsidR="00046CEF" w:rsidRPr="00FE5D8B" w:rsidRDefault="00046CEF" w:rsidP="00252272">
      <w:pPr>
        <w:pStyle w:val="Corpsdetexte"/>
        <w:jc w:val="both"/>
        <w:rPr>
          <w:rFonts w:asciiTheme="minorHAnsi" w:hAnsiTheme="minorHAnsi" w:cstheme="minorHAnsi"/>
          <w:lang w:val="fr-CA"/>
        </w:rPr>
      </w:pPr>
      <w:r w:rsidRPr="00FE5D8B">
        <w:rPr>
          <w:rFonts w:asciiTheme="minorHAnsi" w:hAnsiTheme="minorHAnsi" w:cstheme="minorHAnsi"/>
          <w:lang w:val="fr-CA"/>
        </w:rPr>
        <w:t xml:space="preserve">L’énoncé des exigences </w:t>
      </w:r>
      <w:r w:rsidR="003946B5" w:rsidRPr="00FE5D8B">
        <w:rPr>
          <w:rFonts w:asciiTheme="minorHAnsi" w:hAnsiTheme="minorHAnsi" w:cstheme="minorHAnsi"/>
          <w:lang w:val="fr-CA"/>
        </w:rPr>
        <w:t xml:space="preserve">est un document présenté en Bureau communautaire afin </w:t>
      </w:r>
      <w:r w:rsidR="00FE5D8B" w:rsidRPr="00FE5D8B">
        <w:rPr>
          <w:rFonts w:asciiTheme="minorHAnsi" w:hAnsiTheme="minorHAnsi" w:cstheme="minorHAnsi"/>
          <w:lang w:val="fr-CA"/>
        </w:rPr>
        <w:t>d’autoriser l’entrée</w:t>
      </w:r>
      <w:r w:rsidR="000F68B0" w:rsidRPr="00FE5D8B">
        <w:rPr>
          <w:rFonts w:asciiTheme="minorHAnsi" w:hAnsiTheme="minorHAnsi" w:cstheme="minorHAnsi"/>
          <w:lang w:val="fr-CA"/>
        </w:rPr>
        <w:t xml:space="preserve"> en phase de développement du projet. </w:t>
      </w:r>
    </w:p>
    <w:p w14:paraId="07D03992" w14:textId="77777777" w:rsidR="000F68B0" w:rsidRPr="00FE5D8B" w:rsidRDefault="000F68B0" w:rsidP="00252272">
      <w:pPr>
        <w:pStyle w:val="Corpsdetexte"/>
        <w:jc w:val="both"/>
        <w:rPr>
          <w:rFonts w:asciiTheme="minorHAnsi" w:hAnsiTheme="minorHAnsi" w:cstheme="minorHAnsi"/>
          <w:lang w:val="fr-CA"/>
        </w:rPr>
      </w:pPr>
      <w:r w:rsidRPr="00FE5D8B">
        <w:rPr>
          <w:rFonts w:asciiTheme="minorHAnsi" w:hAnsiTheme="minorHAnsi" w:cstheme="minorHAnsi"/>
          <w:lang w:val="fr-CA"/>
        </w:rPr>
        <w:t>Il permet au Bureau et au service de partager une problématique et des orientations communes.</w:t>
      </w:r>
    </w:p>
    <w:p w14:paraId="5A3D4864" w14:textId="77777777" w:rsidR="000F68B0" w:rsidRPr="00FE5D8B" w:rsidRDefault="000F68B0" w:rsidP="00252272">
      <w:pPr>
        <w:pStyle w:val="Corpsdetexte"/>
        <w:jc w:val="both"/>
        <w:rPr>
          <w:rFonts w:asciiTheme="minorHAnsi" w:hAnsiTheme="minorHAnsi" w:cstheme="minorHAnsi"/>
          <w:lang w:val="fr-FR"/>
        </w:rPr>
      </w:pPr>
      <w:r w:rsidRPr="00FE5D8B">
        <w:rPr>
          <w:rFonts w:asciiTheme="minorHAnsi" w:hAnsiTheme="minorHAnsi" w:cstheme="minorHAnsi"/>
          <w:lang w:val="fr-CA"/>
        </w:rPr>
        <w:t>Le passage en phase projet ne signifie pas pour autant que le projet sera réalisé dans la foulée.</w:t>
      </w:r>
    </w:p>
    <w:sectPr w:rsidR="000F68B0" w:rsidRPr="00FE5D8B" w:rsidSect="00F349AC">
      <w:footerReference w:type="default" r:id="rId15"/>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08E24" w14:textId="77777777" w:rsidR="00B06CE0" w:rsidRDefault="00B06CE0">
      <w:pPr>
        <w:rPr>
          <w:rFonts w:ascii="Arial" w:hAnsi="Arial"/>
          <w:sz w:val="20"/>
          <w:szCs w:val="24"/>
        </w:rPr>
      </w:pPr>
      <w:r>
        <w:rPr>
          <w:szCs w:val="24"/>
        </w:rPr>
        <w:separator/>
      </w:r>
    </w:p>
  </w:endnote>
  <w:endnote w:type="continuationSeparator" w:id="0">
    <w:p w14:paraId="3CB608E8" w14:textId="77777777" w:rsidR="00B06CE0" w:rsidRDefault="00B06CE0">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6D4F" w14:textId="77777777" w:rsidR="00913C9D" w:rsidRDefault="00913C9D">
    <w:pPr>
      <w:pStyle w:val="Pieddepage"/>
      <w:tabs>
        <w:tab w:val="clear" w:pos="8640"/>
        <w:tab w:val="right" w:pos="8800"/>
      </w:tabs>
      <w:rPr>
        <w:szCs w:val="24"/>
        <w:lang w:val="fr-CA"/>
      </w:rPr>
    </w:pPr>
    <w:r>
      <w:rPr>
        <w:noProof/>
        <w:szCs w:val="24"/>
        <w:lang w:val="fr-CA"/>
      </w:rPr>
      <w:t>SNGP Projets opérationnels</w:t>
    </w:r>
    <w:r>
      <w:rPr>
        <w:noProof/>
        <w:szCs w:val="24"/>
        <w:lang w:val="fr-CA"/>
      </w:rPr>
      <w:tab/>
    </w:r>
    <w:r>
      <w:rPr>
        <w:noProof/>
        <w:szCs w:val="24"/>
      </w:rPr>
      <w:fldChar w:fldCharType="begin"/>
    </w:r>
    <w:r>
      <w:rPr>
        <w:noProof/>
        <w:szCs w:val="24"/>
        <w:lang w:val="fr-CA"/>
      </w:rPr>
      <w:instrText xml:space="preserve"> PAGE   \* MERGEFORMAT </w:instrText>
    </w:r>
    <w:r>
      <w:rPr>
        <w:noProof/>
        <w:szCs w:val="24"/>
      </w:rPr>
      <w:fldChar w:fldCharType="separate"/>
    </w:r>
    <w:r>
      <w:rPr>
        <w:noProof/>
        <w:szCs w:val="24"/>
        <w:lang w:val="fr-CA"/>
      </w:rPr>
      <w:t>iv</w:t>
    </w:r>
    <w:r>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FE94"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0837"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C49D" w14:textId="77777777" w:rsidR="00913C9D" w:rsidRPr="00FE5D8B" w:rsidRDefault="00913C9D">
    <w:pPr>
      <w:pStyle w:val="Pieddepage"/>
      <w:tabs>
        <w:tab w:val="clear" w:pos="8640"/>
        <w:tab w:val="right" w:pos="8580"/>
      </w:tabs>
      <w:rPr>
        <w:rFonts w:asciiTheme="minorHAnsi" w:hAnsiTheme="minorHAnsi"/>
        <w:szCs w:val="24"/>
        <w:lang w:val="fr-CA"/>
      </w:rPr>
    </w:pPr>
    <w:r w:rsidRPr="00FE5D8B">
      <w:rPr>
        <w:rFonts w:asciiTheme="minorHAnsi" w:hAnsiTheme="minorHAnsi"/>
        <w:noProof/>
        <w:color w:val="A6A6A6" w:themeColor="background1" w:themeShade="A6"/>
        <w:szCs w:val="24"/>
        <w:lang w:val="fr-CA"/>
      </w:rPr>
      <w:t>SNGP Projets opérationnels appuyés par les TI</w:t>
    </w:r>
    <w:r w:rsidRPr="00FE5D8B">
      <w:rPr>
        <w:rFonts w:asciiTheme="minorHAnsi" w:hAnsiTheme="minorHAnsi"/>
        <w:noProof/>
        <w:color w:val="A6A6A6" w:themeColor="background1" w:themeShade="A6"/>
        <w:szCs w:val="24"/>
        <w:lang w:val="fr-CA"/>
      </w:rPr>
      <w:tab/>
    </w:r>
    <w:r w:rsidRPr="00FE5D8B">
      <w:rPr>
        <w:rFonts w:asciiTheme="minorHAnsi" w:hAnsiTheme="minorHAnsi"/>
        <w:noProof/>
        <w:color w:val="A6A6A6" w:themeColor="background1" w:themeShade="A6"/>
        <w:szCs w:val="24"/>
      </w:rPr>
      <w:fldChar w:fldCharType="begin"/>
    </w:r>
    <w:r w:rsidRPr="00FE5D8B">
      <w:rPr>
        <w:rFonts w:asciiTheme="minorHAnsi" w:hAnsiTheme="minorHAnsi"/>
        <w:noProof/>
        <w:color w:val="A6A6A6" w:themeColor="background1" w:themeShade="A6"/>
        <w:szCs w:val="24"/>
        <w:lang w:val="fr-CA"/>
      </w:rPr>
      <w:instrText xml:space="preserve"> PAGE   \* MERGEFORMAT </w:instrText>
    </w:r>
    <w:r w:rsidRPr="00FE5D8B">
      <w:rPr>
        <w:rFonts w:asciiTheme="minorHAnsi" w:hAnsiTheme="minorHAnsi"/>
        <w:noProof/>
        <w:color w:val="A6A6A6" w:themeColor="background1" w:themeShade="A6"/>
        <w:szCs w:val="24"/>
      </w:rPr>
      <w:fldChar w:fldCharType="separate"/>
    </w:r>
    <w:r w:rsidRPr="00FE5D8B">
      <w:rPr>
        <w:rFonts w:asciiTheme="minorHAnsi" w:hAnsiTheme="minorHAnsi"/>
        <w:noProof/>
        <w:color w:val="A6A6A6" w:themeColor="background1" w:themeShade="A6"/>
        <w:szCs w:val="24"/>
        <w:lang w:val="fr-CA"/>
      </w:rPr>
      <w:t>2</w:t>
    </w:r>
    <w:r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BCD8A" w14:textId="77777777" w:rsidR="00B06CE0" w:rsidRDefault="00B06CE0">
      <w:pPr>
        <w:rPr>
          <w:rFonts w:ascii="Arial" w:hAnsi="Arial"/>
          <w:sz w:val="20"/>
          <w:szCs w:val="24"/>
        </w:rPr>
      </w:pPr>
      <w:r>
        <w:rPr>
          <w:szCs w:val="24"/>
        </w:rPr>
        <w:separator/>
      </w:r>
    </w:p>
  </w:footnote>
  <w:footnote w:type="continuationSeparator" w:id="0">
    <w:p w14:paraId="2BA79E82" w14:textId="77777777" w:rsidR="00B06CE0" w:rsidRDefault="00B06CE0">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9778" w14:textId="77777777" w:rsidR="00913C9D" w:rsidRPr="00FE5D8B" w:rsidRDefault="00BD650C">
    <w:pPr>
      <w:pStyle w:val="En-tte"/>
      <w:pBdr>
        <w:bottom w:val="single" w:sz="4" w:space="0" w:color="auto"/>
      </w:pBdr>
      <w:rPr>
        <w:rFonts w:asciiTheme="minorHAnsi" w:hAnsiTheme="minorHAnsi"/>
        <w:iCs/>
        <w:color w:val="A6A6A6" w:themeColor="background1" w:themeShade="A6"/>
        <w:szCs w:val="24"/>
        <w:lang w:val="fr-CA"/>
      </w:rPr>
    </w:pPr>
    <w:r w:rsidRPr="00FE5D8B">
      <w:rPr>
        <w:rFonts w:asciiTheme="minorHAnsi" w:hAnsiTheme="minorHAnsi"/>
        <w:iCs/>
        <w:noProof/>
        <w:color w:val="A6A6A6" w:themeColor="background1" w:themeShade="A6"/>
        <w:szCs w:val="24"/>
        <w:lang w:val="fr-CA"/>
      </w:rPr>
      <w:t>Projet d’établissement partagé</w:t>
    </w:r>
    <w:r w:rsidR="008969DC" w:rsidRPr="00FE5D8B">
      <w:rPr>
        <w:rFonts w:asciiTheme="minorHAnsi" w:hAnsiTheme="minorHAnsi"/>
        <w:iCs/>
        <w:noProof/>
        <w:color w:val="A6A6A6" w:themeColor="background1" w:themeShade="A6"/>
        <w:szCs w:val="24"/>
        <w:lang w:val="fr-CA"/>
      </w:rPr>
      <w:t xml:space="preserve"> : </w:t>
    </w:r>
    <w:r w:rsidR="00913C9D" w:rsidRPr="00FE5D8B">
      <w:rPr>
        <w:rFonts w:asciiTheme="minorHAnsi" w:hAnsiTheme="minorHAnsi"/>
        <w:iCs/>
        <w:noProof/>
        <w:color w:val="A6A6A6" w:themeColor="background1" w:themeShade="A6"/>
        <w:szCs w:val="24"/>
        <w:lang w:val="fr-CA"/>
      </w:rPr>
      <w:t xml:space="preserve"> </w:t>
    </w:r>
    <w:r w:rsidR="00FE5D8B">
      <w:rPr>
        <w:rFonts w:asciiTheme="minorHAnsi" w:hAnsiTheme="minorHAnsi"/>
        <w:iCs/>
        <w:noProof/>
        <w:color w:val="A6A6A6" w:themeColor="background1" w:themeShade="A6"/>
        <w:szCs w:val="24"/>
        <w:lang w:val="fr-CA"/>
      </w:rPr>
      <w:t>é</w:t>
    </w:r>
    <w:r w:rsidR="00913C9D" w:rsidRPr="00FE5D8B">
      <w:rPr>
        <w:rFonts w:asciiTheme="minorHAnsi" w:hAnsiTheme="minorHAnsi"/>
        <w:iCs/>
        <w:noProof/>
        <w:color w:val="A6A6A6" w:themeColor="background1" w:themeShade="A6"/>
        <w:szCs w:val="24"/>
        <w:lang w:val="fr-CA"/>
      </w:rPr>
      <w:t>noncé des exigences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D72B" w14:textId="77777777" w:rsidR="00913C9D" w:rsidRDefault="00FE5D8B">
    <w:pPr>
      <w:pStyle w:val="HeaderFooterSecurity"/>
      <w:jc w:val="left"/>
      <w:rPr>
        <w:szCs w:val="24"/>
      </w:rPr>
    </w:pPr>
    <w:r>
      <w:rPr>
        <w:noProof/>
        <w:snapToGrid/>
        <w:szCs w:val="24"/>
      </w:rPr>
      <w:drawing>
        <wp:inline distT="0" distB="0" distL="0" distR="0" wp14:anchorId="24EB2246" wp14:editId="6B8E8D3A">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8ECF"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EF201C"/>
    <w:multiLevelType w:val="hybridMultilevel"/>
    <w:tmpl w:val="280CCA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4"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2"/>
  </w:num>
  <w:num w:numId="4">
    <w:abstractNumId w:val="0"/>
  </w:num>
  <w:num w:numId="5">
    <w:abstractNumId w:val="21"/>
  </w:num>
  <w:num w:numId="6">
    <w:abstractNumId w:val="15"/>
  </w:num>
  <w:num w:numId="7">
    <w:abstractNumId w:val="18"/>
  </w:num>
  <w:num w:numId="8">
    <w:abstractNumId w:val="13"/>
  </w:num>
  <w:num w:numId="9">
    <w:abstractNumId w:val="16"/>
  </w:num>
  <w:num w:numId="10">
    <w:abstractNumId w:val="17"/>
  </w:num>
  <w:num w:numId="11">
    <w:abstractNumId w:val="9"/>
  </w:num>
  <w:num w:numId="12">
    <w:abstractNumId w:val="20"/>
  </w:num>
  <w:num w:numId="13">
    <w:abstractNumId w:val="6"/>
  </w:num>
  <w:num w:numId="14">
    <w:abstractNumId w:val="12"/>
  </w:num>
  <w:num w:numId="15">
    <w:abstractNumId w:val="3"/>
  </w:num>
  <w:num w:numId="16">
    <w:abstractNumId w:val="19"/>
  </w:num>
  <w:num w:numId="17">
    <w:abstractNumId w:val="8"/>
  </w:num>
  <w:num w:numId="18">
    <w:abstractNumId w:val="14"/>
  </w:num>
  <w:num w:numId="19">
    <w:abstractNumId w:val="2"/>
  </w:num>
  <w:num w:numId="20">
    <w:abstractNumId w:val="7"/>
  </w:num>
  <w:num w:numId="21">
    <w:abstractNumId w:val="11"/>
  </w:num>
  <w:num w:numId="22">
    <w:abstractNumId w:val="10"/>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C5"/>
    <w:rsid w:val="00011F31"/>
    <w:rsid w:val="00046CEF"/>
    <w:rsid w:val="000C7086"/>
    <w:rsid w:val="000D6A53"/>
    <w:rsid w:val="000E5191"/>
    <w:rsid w:val="000F68B0"/>
    <w:rsid w:val="00110E55"/>
    <w:rsid w:val="00141408"/>
    <w:rsid w:val="00232FA6"/>
    <w:rsid w:val="0024472D"/>
    <w:rsid w:val="00252272"/>
    <w:rsid w:val="002703D3"/>
    <w:rsid w:val="00280C70"/>
    <w:rsid w:val="002D1F23"/>
    <w:rsid w:val="002D3F15"/>
    <w:rsid w:val="003657B2"/>
    <w:rsid w:val="0037075E"/>
    <w:rsid w:val="003946B5"/>
    <w:rsid w:val="00401AB0"/>
    <w:rsid w:val="00480DB2"/>
    <w:rsid w:val="004C4890"/>
    <w:rsid w:val="004D7633"/>
    <w:rsid w:val="004E3B61"/>
    <w:rsid w:val="00527C85"/>
    <w:rsid w:val="0054672A"/>
    <w:rsid w:val="00610CE2"/>
    <w:rsid w:val="0063036F"/>
    <w:rsid w:val="006940A0"/>
    <w:rsid w:val="006A1563"/>
    <w:rsid w:val="006D6E9B"/>
    <w:rsid w:val="007063EB"/>
    <w:rsid w:val="00711163"/>
    <w:rsid w:val="00750683"/>
    <w:rsid w:val="00775738"/>
    <w:rsid w:val="00784DA0"/>
    <w:rsid w:val="007A0AE4"/>
    <w:rsid w:val="008031D7"/>
    <w:rsid w:val="008969DC"/>
    <w:rsid w:val="008F6152"/>
    <w:rsid w:val="00913C9D"/>
    <w:rsid w:val="00947094"/>
    <w:rsid w:val="009A37D6"/>
    <w:rsid w:val="009C0EFB"/>
    <w:rsid w:val="009C277F"/>
    <w:rsid w:val="009F3ECA"/>
    <w:rsid w:val="00A01B75"/>
    <w:rsid w:val="00A229C3"/>
    <w:rsid w:val="00B052E6"/>
    <w:rsid w:val="00B06CE0"/>
    <w:rsid w:val="00B17B00"/>
    <w:rsid w:val="00B67B4D"/>
    <w:rsid w:val="00BD650C"/>
    <w:rsid w:val="00C00E09"/>
    <w:rsid w:val="00C55C2F"/>
    <w:rsid w:val="00C957A1"/>
    <w:rsid w:val="00D278B2"/>
    <w:rsid w:val="00D33739"/>
    <w:rsid w:val="00D34206"/>
    <w:rsid w:val="00D84306"/>
    <w:rsid w:val="00DA4AB4"/>
    <w:rsid w:val="00DB7D7A"/>
    <w:rsid w:val="00DC1976"/>
    <w:rsid w:val="00DE5373"/>
    <w:rsid w:val="00E313EC"/>
    <w:rsid w:val="00E64783"/>
    <w:rsid w:val="00E70F10"/>
    <w:rsid w:val="00E75FD4"/>
    <w:rsid w:val="00E852C5"/>
    <w:rsid w:val="00E85737"/>
    <w:rsid w:val="00EF4C11"/>
    <w:rsid w:val="00F349AC"/>
    <w:rsid w:val="00F44A45"/>
    <w:rsid w:val="00FE4FEF"/>
    <w:rsid w:val="00FE5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BB7B8"/>
  <w15:chartTrackingRefBased/>
  <w15:docId w15:val="{DC90E286-1A96-4B79-991F-FC4531FD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 w:type="paragraph" w:styleId="Paragraphedeliste">
    <w:name w:val="List Paragraph"/>
    <w:basedOn w:val="Normal"/>
    <w:uiPriority w:val="34"/>
    <w:qFormat/>
    <w:rsid w:val="00E85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Mod&#232;les%20Office%20personnalis&#233;s\EE.Type-char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734-6FB7-4198-B5FB-12A5C9B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EE.Type-charté.dotx</Template>
  <TotalTime>6</TotalTime>
  <Pages>6</Pages>
  <Words>1349</Words>
  <Characters>7425</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8757</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Marielle Giraud</cp:lastModifiedBy>
  <cp:revision>1</cp:revision>
  <cp:lastPrinted>2010-02-08T16:09:00Z</cp:lastPrinted>
  <dcterms:created xsi:type="dcterms:W3CDTF">2020-09-11T08:37:00Z</dcterms:created>
  <dcterms:modified xsi:type="dcterms:W3CDTF">2020-09-11T08:46:00Z</dcterms:modified>
</cp:coreProperties>
</file>