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21449" w14:textId="0F11C6D6" w:rsidR="00913C9D" w:rsidRDefault="00913C9D" w:rsidP="00B514E4">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69D0E54C" w14:textId="77777777"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531F4AFE" w14:textId="77777777" w:rsidR="00B514E4" w:rsidRPr="00B514E4" w:rsidRDefault="00B514E4" w:rsidP="00B514E4">
      <w:pPr>
        <w:pStyle w:val="DocumentCover-BoldRight"/>
        <w:rPr>
          <w:rFonts w:asciiTheme="minorHAnsi" w:hAnsiTheme="minorHAnsi" w:cstheme="minorHAnsi"/>
          <w:b/>
          <w:bCs/>
          <w:iCs/>
          <w:color w:val="808080" w:themeColor="background1" w:themeShade="80"/>
          <w:sz w:val="40"/>
          <w:szCs w:val="32"/>
        </w:rPr>
      </w:pPr>
      <w:r w:rsidRPr="00B514E4">
        <w:rPr>
          <w:rFonts w:asciiTheme="minorHAnsi" w:hAnsiTheme="minorHAnsi" w:cstheme="minorHAnsi"/>
          <w:b/>
          <w:bCs/>
          <w:i/>
          <w:iCs/>
          <w:color w:val="808080" w:themeColor="background1" w:themeShade="80"/>
          <w:sz w:val="40"/>
          <w:szCs w:val="32"/>
          <w:lang w:val="fr-CA"/>
        </w:rPr>
        <w:t>Projet retour d’expérience interne de la gestion de la crise sanitaire</w:t>
      </w:r>
    </w:p>
    <w:p w14:paraId="728CC12C" w14:textId="77777777" w:rsidR="00B514E4" w:rsidRPr="00B514E4" w:rsidRDefault="00B514E4" w:rsidP="00B514E4">
      <w:pPr>
        <w:pStyle w:val="DocumentCover-BoldRight"/>
        <w:rPr>
          <w:rFonts w:asciiTheme="minorHAnsi" w:hAnsiTheme="minorHAnsi" w:cstheme="minorHAnsi"/>
          <w:bCs/>
          <w:iCs/>
          <w:color w:val="808080" w:themeColor="background1" w:themeShade="80"/>
          <w:sz w:val="40"/>
          <w:szCs w:val="32"/>
        </w:rPr>
      </w:pPr>
    </w:p>
    <w:p w14:paraId="1CDB9917" w14:textId="77777777" w:rsidR="00B514E4" w:rsidRPr="00B514E4" w:rsidRDefault="00B514E4" w:rsidP="00B514E4">
      <w:pPr>
        <w:pStyle w:val="DocumentCover-BoldRight"/>
        <w:rPr>
          <w:rFonts w:asciiTheme="minorHAnsi" w:hAnsiTheme="minorHAnsi" w:cstheme="minorHAnsi"/>
          <w:bCs/>
          <w:iCs/>
          <w:color w:val="808080" w:themeColor="background1" w:themeShade="80"/>
          <w:sz w:val="40"/>
          <w:szCs w:val="32"/>
        </w:rPr>
      </w:pPr>
    </w:p>
    <w:p w14:paraId="2F8CD49C" w14:textId="77777777" w:rsidR="00B514E4" w:rsidRPr="00B514E4" w:rsidRDefault="00B514E4" w:rsidP="00B514E4">
      <w:pPr>
        <w:pStyle w:val="DocumentCover-BoldRight"/>
        <w:rPr>
          <w:rFonts w:asciiTheme="minorHAnsi" w:hAnsiTheme="minorHAnsi" w:cstheme="minorHAnsi"/>
          <w:b/>
          <w:bCs/>
          <w:i/>
          <w:iCs/>
          <w:color w:val="808080" w:themeColor="background1" w:themeShade="80"/>
          <w:sz w:val="40"/>
          <w:szCs w:val="32"/>
        </w:rPr>
      </w:pPr>
      <w:r w:rsidRPr="00B514E4">
        <w:rPr>
          <w:rFonts w:asciiTheme="minorHAnsi" w:hAnsiTheme="minorHAnsi" w:cstheme="minorHAnsi"/>
          <w:b/>
          <w:bCs/>
          <w:i/>
          <w:iCs/>
          <w:color w:val="808080" w:themeColor="background1" w:themeShade="80"/>
          <w:sz w:val="40"/>
          <w:szCs w:val="32"/>
          <w:lang w:val="fr-CA"/>
        </w:rPr>
        <w:t>DRH</w:t>
      </w:r>
    </w:p>
    <w:p w14:paraId="367C1307" w14:textId="77777777" w:rsidR="00913C9D" w:rsidRPr="00FE5D8B" w:rsidRDefault="00913C9D">
      <w:pPr>
        <w:pStyle w:val="DocumentCover-BoldRight"/>
        <w:rPr>
          <w:rFonts w:asciiTheme="minorHAnsi" w:hAnsiTheme="minorHAnsi" w:cstheme="minorHAnsi"/>
          <w:b/>
          <w:szCs w:val="24"/>
        </w:rPr>
      </w:pPr>
    </w:p>
    <w:p w14:paraId="50F2B448" w14:textId="77777777" w:rsidR="00913C9D" w:rsidRPr="00FE5D8B" w:rsidRDefault="00913C9D">
      <w:pPr>
        <w:pStyle w:val="DocumentCover-BoldRight"/>
        <w:rPr>
          <w:rFonts w:asciiTheme="minorHAnsi" w:hAnsiTheme="minorHAnsi" w:cstheme="minorHAnsi"/>
          <w:b/>
          <w:szCs w:val="24"/>
        </w:rPr>
      </w:pPr>
    </w:p>
    <w:p w14:paraId="09FB059A"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7E129772" w14:textId="77777777" w:rsidR="00913C9D" w:rsidRPr="00FE5D8B" w:rsidRDefault="00913C9D">
      <w:pPr>
        <w:pStyle w:val="LeadParagraph"/>
        <w:jc w:val="center"/>
        <w:rPr>
          <w:rFonts w:asciiTheme="minorHAnsi" w:hAnsiTheme="minorHAnsi" w:cstheme="minorHAnsi"/>
          <w:lang w:val="fr-CA"/>
        </w:rPr>
      </w:pPr>
    </w:p>
    <w:p w14:paraId="2A48DA97" w14:textId="77777777" w:rsidR="00913C9D" w:rsidRPr="00FE5D8B" w:rsidRDefault="00913C9D">
      <w:pPr>
        <w:pStyle w:val="LeadParagraph"/>
        <w:jc w:val="center"/>
        <w:rPr>
          <w:rFonts w:asciiTheme="minorHAnsi" w:hAnsiTheme="minorHAnsi" w:cstheme="minorHAnsi"/>
          <w:lang w:val="fr-CA"/>
        </w:rPr>
      </w:pPr>
    </w:p>
    <w:p w14:paraId="47F6952B" w14:textId="77777777" w:rsidR="00913C9D" w:rsidRPr="00FE5D8B" w:rsidRDefault="00913C9D">
      <w:pPr>
        <w:pStyle w:val="LeadParagraph"/>
        <w:jc w:val="center"/>
        <w:rPr>
          <w:rFonts w:asciiTheme="minorHAnsi" w:hAnsiTheme="minorHAnsi" w:cstheme="minorHAnsi"/>
          <w:lang w:val="fr-CA"/>
        </w:rPr>
      </w:pPr>
    </w:p>
    <w:p w14:paraId="59C562F1" w14:textId="77777777"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307B2A90" wp14:editId="001CAF08">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0471ACF8"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18054B69" w14:textId="77777777" w:rsidR="00913C9D" w:rsidRPr="00F349AC" w:rsidRDefault="00252272">
      <w:pPr>
        <w:jc w:val="right"/>
        <w:rPr>
          <w:rFonts w:asciiTheme="minorHAnsi" w:hAnsiTheme="minorHAnsi" w:cstheme="minorHAnsi"/>
          <w:bCs/>
          <w:sz w:val="28"/>
          <w:szCs w:val="28"/>
          <w:lang w:val="fr-CA"/>
        </w:rPr>
      </w:pPr>
      <w:r w:rsidRPr="00F349AC">
        <w:rPr>
          <w:rFonts w:asciiTheme="minorHAnsi" w:hAnsiTheme="minorHAnsi" w:cstheme="minorHAnsi"/>
          <w:bCs/>
          <w:sz w:val="28"/>
          <w:szCs w:val="28"/>
          <w:lang w:val="fr-CA"/>
        </w:rPr>
        <w:t>Projet de transfert de l’abattoir municipal d’Ambert</w:t>
      </w:r>
    </w:p>
    <w:p w14:paraId="1E2AC028"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691A7D2B"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3840D521" w14:textId="77777777" w:rsidR="00913C9D" w:rsidRPr="00FE5D8B" w:rsidRDefault="00913C9D">
      <w:pPr>
        <w:rPr>
          <w:rFonts w:asciiTheme="minorHAnsi" w:hAnsiTheme="minorHAnsi" w:cstheme="minorHAnsi"/>
          <w:szCs w:val="24"/>
          <w:lang w:val="fr-CA"/>
        </w:rPr>
      </w:pPr>
    </w:p>
    <w:p w14:paraId="2A3D2C28" w14:textId="77777777"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07D3B3DB" w14:textId="77777777" w:rsidR="008969DC" w:rsidRPr="00FE5D8B" w:rsidRDefault="008969DC" w:rsidP="008969DC">
      <w:pPr>
        <w:pStyle w:val="Corpsdetexte"/>
        <w:rPr>
          <w:rFonts w:asciiTheme="minorHAnsi" w:hAnsiTheme="minorHAnsi" w:cstheme="minorHAnsi"/>
          <w:lang w:val="fr-CA"/>
        </w:rPr>
      </w:pPr>
    </w:p>
    <w:p w14:paraId="5FA78A4F" w14:textId="1BF97823" w:rsidR="008969DC" w:rsidRPr="00FE5D8B"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p>
    <w:p w14:paraId="3971E9EB" w14:textId="77777777" w:rsidR="008969DC" w:rsidRPr="00FE5D8B" w:rsidRDefault="008969DC" w:rsidP="008969DC">
      <w:pPr>
        <w:pStyle w:val="Corpsdetexte"/>
        <w:rPr>
          <w:rFonts w:asciiTheme="minorHAnsi" w:hAnsiTheme="minorHAnsi" w:cstheme="minorHAnsi"/>
          <w:lang w:val="fr-CA"/>
        </w:rPr>
      </w:pPr>
    </w:p>
    <w:p w14:paraId="6227A174"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7F1E21E2" w14:textId="77777777" w:rsidR="00B514E4" w:rsidRPr="00B514E4" w:rsidRDefault="00B514E4" w:rsidP="00B514E4">
      <w:pPr>
        <w:pStyle w:val="Corpsdetexte"/>
        <w:numPr>
          <w:ilvl w:val="0"/>
          <w:numId w:val="23"/>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Usagers</w:t>
      </w:r>
    </w:p>
    <w:p w14:paraId="4206DA2E" w14:textId="77777777" w:rsidR="00B514E4" w:rsidRPr="00B514E4" w:rsidRDefault="00B514E4" w:rsidP="00B514E4">
      <w:pPr>
        <w:pStyle w:val="Corpsdetexte"/>
        <w:numPr>
          <w:ilvl w:val="0"/>
          <w:numId w:val="23"/>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Agents Ambert Livradois Forez communauté de communes</w:t>
      </w:r>
    </w:p>
    <w:p w14:paraId="1BECF2F3" w14:textId="77777777" w:rsidR="00B514E4" w:rsidRPr="00B514E4" w:rsidRDefault="00B514E4" w:rsidP="00B514E4">
      <w:pPr>
        <w:pStyle w:val="Corpsdetexte"/>
        <w:numPr>
          <w:ilvl w:val="0"/>
          <w:numId w:val="23"/>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Pôle RH</w:t>
      </w:r>
    </w:p>
    <w:p w14:paraId="6C311EC1" w14:textId="77777777" w:rsidR="00B514E4" w:rsidRPr="00B514E4" w:rsidRDefault="00B514E4" w:rsidP="00B514E4">
      <w:pPr>
        <w:pStyle w:val="Corpsdetexte"/>
        <w:numPr>
          <w:ilvl w:val="0"/>
          <w:numId w:val="23"/>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Direction générale</w:t>
      </w:r>
    </w:p>
    <w:p w14:paraId="3375C115" w14:textId="77777777" w:rsidR="00B514E4" w:rsidRPr="00B514E4" w:rsidRDefault="00B514E4" w:rsidP="00B514E4">
      <w:pPr>
        <w:pStyle w:val="Corpsdetexte"/>
        <w:numPr>
          <w:ilvl w:val="0"/>
          <w:numId w:val="23"/>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CNFPT</w:t>
      </w:r>
    </w:p>
    <w:p w14:paraId="02C6C193"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1DFCE811" w14:textId="77777777"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A5F887B" w14:textId="77777777" w:rsidR="008969DC" w:rsidRPr="00FE5D8B" w:rsidRDefault="008969DC" w:rsidP="008969DC">
      <w:pPr>
        <w:pStyle w:val="Corpsdetexte"/>
        <w:ind w:left="720"/>
        <w:rPr>
          <w:rFonts w:asciiTheme="minorHAnsi" w:hAnsiTheme="minorHAnsi" w:cstheme="minorHAnsi"/>
          <w:lang w:val="fr-CA"/>
        </w:rPr>
      </w:pPr>
    </w:p>
    <w:p w14:paraId="0E0398EC" w14:textId="77777777" w:rsidR="00913C9D" w:rsidRPr="00FE5D8B" w:rsidRDefault="00913C9D">
      <w:pPr>
        <w:rPr>
          <w:rFonts w:asciiTheme="minorHAnsi" w:hAnsiTheme="minorHAnsi" w:cstheme="minorHAnsi"/>
          <w:b/>
          <w:szCs w:val="24"/>
          <w:lang w:val="fr-CA"/>
        </w:rPr>
      </w:pPr>
    </w:p>
    <w:p w14:paraId="3B0E5F17"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3162C887"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35B3AE59" w14:textId="77777777" w:rsidR="00947094" w:rsidRPr="00FE5D8B" w:rsidRDefault="00EA5AF7">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93454DD" w14:textId="77777777" w:rsidR="00947094" w:rsidRPr="00FE5D8B" w:rsidRDefault="00EA5AF7">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7A87587" w14:textId="77777777" w:rsidR="00947094" w:rsidRPr="00FE5D8B" w:rsidRDefault="00EA5AF7">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14B1B4AE" w14:textId="77777777" w:rsidR="00947094" w:rsidRPr="00FE5D8B" w:rsidRDefault="00EA5AF7">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006D3BC6" w14:textId="77777777" w:rsidR="00947094" w:rsidRPr="00FE5D8B" w:rsidRDefault="00EA5AF7">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799AD61F" w14:textId="77777777" w:rsidR="00947094" w:rsidRPr="00FE5D8B" w:rsidRDefault="00EA5AF7">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44155022"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00B00AE3" w14:textId="77777777" w:rsidR="00913C9D" w:rsidRPr="00FE5D8B" w:rsidRDefault="00913C9D">
      <w:pPr>
        <w:pStyle w:val="Tabledesillustrations"/>
        <w:rPr>
          <w:rFonts w:asciiTheme="minorHAnsi" w:hAnsiTheme="minorHAnsi" w:cstheme="minorHAnsi"/>
          <w:szCs w:val="24"/>
        </w:rPr>
      </w:pPr>
    </w:p>
    <w:p w14:paraId="7C9E5478"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611B6DAA" w14:textId="77777777"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744AF1B0" w14:textId="30132473" w:rsidR="00E75FD4" w:rsidRPr="00FE5D8B" w:rsidRDefault="00913C9D" w:rsidP="00252272">
      <w:pPr>
        <w:ind w:firstLine="720"/>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demander </w:t>
      </w:r>
      <w:r w:rsidR="00750683" w:rsidRPr="00FE5D8B">
        <w:rPr>
          <w:rFonts w:asciiTheme="minorHAnsi" w:hAnsiTheme="minorHAnsi" w:cstheme="minorHAnsi"/>
          <w:sz w:val="24"/>
          <w:szCs w:val="28"/>
          <w:lang w:val="fr-CA"/>
        </w:rPr>
        <w:t>l’approbation du Bureau de la Communauté de Communes Ambert Livradois</w:t>
      </w:r>
      <w:r w:rsidR="000D6A53">
        <w:rPr>
          <w:rFonts w:asciiTheme="minorHAnsi" w:hAnsiTheme="minorHAnsi" w:cstheme="minorHAnsi"/>
          <w:sz w:val="24"/>
          <w:szCs w:val="28"/>
          <w:lang w:val="fr-CA"/>
        </w:rPr>
        <w:t xml:space="preserve"> </w:t>
      </w:r>
      <w:r w:rsidR="00750683" w:rsidRPr="00FE5D8B">
        <w:rPr>
          <w:rFonts w:asciiTheme="minorHAnsi" w:hAnsiTheme="minorHAnsi" w:cstheme="minorHAnsi"/>
          <w:sz w:val="24"/>
          <w:szCs w:val="28"/>
          <w:lang w:val="fr-CA"/>
        </w:rPr>
        <w:t xml:space="preserve">Forez (CCALF) </w:t>
      </w:r>
      <w:r w:rsidR="00DE5373" w:rsidRPr="00FE5D8B">
        <w:rPr>
          <w:rFonts w:asciiTheme="minorHAnsi" w:hAnsiTheme="minorHAnsi" w:cstheme="minorHAnsi"/>
          <w:sz w:val="24"/>
          <w:szCs w:val="28"/>
          <w:lang w:val="fr-CA"/>
        </w:rPr>
        <w:t xml:space="preserve">pour </w:t>
      </w:r>
      <w:r w:rsidR="00A01B75" w:rsidRPr="00FE5D8B">
        <w:rPr>
          <w:rFonts w:asciiTheme="minorHAnsi" w:hAnsiTheme="minorHAnsi" w:cstheme="minorHAnsi"/>
          <w:sz w:val="24"/>
          <w:szCs w:val="28"/>
          <w:lang w:val="fr-CA"/>
        </w:rPr>
        <w:t xml:space="preserve">permettre </w:t>
      </w:r>
      <w:r w:rsidR="00B514E4">
        <w:rPr>
          <w:rFonts w:asciiTheme="minorHAnsi" w:hAnsiTheme="minorHAnsi" w:cstheme="minorHAnsi"/>
          <w:sz w:val="24"/>
          <w:szCs w:val="28"/>
          <w:lang w:val="fr-CA"/>
        </w:rPr>
        <w:t>la formalisation d’un retour d’expérience sur la gestion de la crise sanitaire liée au coronavirus.</w:t>
      </w:r>
    </w:p>
    <w:p w14:paraId="7A26F275" w14:textId="77777777" w:rsidR="00BD650C" w:rsidRPr="00FE5D8B" w:rsidRDefault="00BD650C" w:rsidP="00252272">
      <w:pPr>
        <w:pStyle w:val="Corpsdetexte"/>
        <w:jc w:val="both"/>
        <w:rPr>
          <w:rFonts w:asciiTheme="minorHAnsi" w:hAnsiTheme="minorHAnsi" w:cstheme="minorHAnsi"/>
          <w:lang w:val="fr-CA"/>
        </w:rPr>
      </w:pPr>
    </w:p>
    <w:p w14:paraId="181509CE" w14:textId="77777777" w:rsidR="00B514E4" w:rsidRPr="00B514E4" w:rsidRDefault="00B514E4" w:rsidP="00B514E4">
      <w:pPr>
        <w:pStyle w:val="Corpsdetexte"/>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 xml:space="preserve">Objectif de l’établissement : </w:t>
      </w:r>
    </w:p>
    <w:p w14:paraId="7A25DCEE" w14:textId="77777777" w:rsidR="00B514E4" w:rsidRPr="00B514E4" w:rsidRDefault="00B514E4" w:rsidP="00B514E4">
      <w:pPr>
        <w:pStyle w:val="Corpsdetexte"/>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 xml:space="preserve"> </w:t>
      </w:r>
    </w:p>
    <w:p w14:paraId="1999800A" w14:textId="77777777" w:rsidR="00B514E4" w:rsidRPr="00B514E4" w:rsidRDefault="00B514E4" w:rsidP="00B514E4">
      <w:pPr>
        <w:pStyle w:val="Corpsdetexte"/>
        <w:ind w:left="426"/>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w:t>
      </w:r>
      <w:r w:rsidRPr="00B514E4">
        <w:rPr>
          <w:rFonts w:asciiTheme="minorHAnsi" w:hAnsiTheme="minorHAnsi" w:cstheme="minorHAnsi"/>
          <w:sz w:val="24"/>
          <w:szCs w:val="28"/>
          <w:lang w:val="fr-CA"/>
        </w:rPr>
        <w:tab/>
        <w:t>Tirer les enseignements de la gestion de la crise sanitaire du début d’année 2020 afin d’en retirer une expérience et améliorer le plan de continuité d’activité.</w:t>
      </w:r>
    </w:p>
    <w:p w14:paraId="30D1B090" w14:textId="77777777" w:rsidR="00B514E4" w:rsidRPr="00B514E4" w:rsidRDefault="00B514E4" w:rsidP="00B514E4">
      <w:pPr>
        <w:pStyle w:val="Corpsdetexte"/>
        <w:jc w:val="both"/>
        <w:rPr>
          <w:rFonts w:asciiTheme="minorHAnsi" w:hAnsiTheme="minorHAnsi" w:cstheme="minorHAnsi"/>
          <w:sz w:val="24"/>
          <w:szCs w:val="28"/>
          <w:lang w:val="fr-CA"/>
        </w:rPr>
      </w:pPr>
    </w:p>
    <w:p w14:paraId="776F4F3D" w14:textId="77777777" w:rsidR="00B514E4" w:rsidRPr="00B514E4" w:rsidRDefault="00B514E4" w:rsidP="00B514E4">
      <w:pPr>
        <w:pStyle w:val="Corpsdetexte"/>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Objectifs du RETEX : être un outil d’apprentissage</w:t>
      </w:r>
    </w:p>
    <w:p w14:paraId="043FC994" w14:textId="77777777" w:rsidR="00B514E4" w:rsidRPr="00B514E4" w:rsidRDefault="00B514E4" w:rsidP="00B514E4">
      <w:pPr>
        <w:pStyle w:val="Corpsdetexte"/>
        <w:ind w:left="426"/>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w:t>
      </w:r>
      <w:r w:rsidRPr="00B514E4">
        <w:rPr>
          <w:rFonts w:asciiTheme="minorHAnsi" w:hAnsiTheme="minorHAnsi" w:cstheme="minorHAnsi"/>
          <w:sz w:val="24"/>
          <w:szCs w:val="28"/>
          <w:lang w:val="fr-CA"/>
        </w:rPr>
        <w:tab/>
        <w:t>Prendre du recul sur les évènements et la gestion de la crise</w:t>
      </w:r>
    </w:p>
    <w:p w14:paraId="1E24F455" w14:textId="77777777" w:rsidR="00B514E4" w:rsidRPr="00B514E4" w:rsidRDefault="00B514E4" w:rsidP="00B514E4">
      <w:pPr>
        <w:pStyle w:val="Corpsdetexte"/>
        <w:ind w:left="426"/>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w:t>
      </w:r>
      <w:r w:rsidRPr="00B514E4">
        <w:rPr>
          <w:rFonts w:asciiTheme="minorHAnsi" w:hAnsiTheme="minorHAnsi" w:cstheme="minorHAnsi"/>
          <w:sz w:val="24"/>
          <w:szCs w:val="28"/>
          <w:lang w:val="fr-CA"/>
        </w:rPr>
        <w:tab/>
        <w:t>Tirer des enseignements</w:t>
      </w:r>
    </w:p>
    <w:p w14:paraId="0ABE11E3" w14:textId="77777777" w:rsidR="00B514E4" w:rsidRPr="00B514E4" w:rsidRDefault="00B514E4" w:rsidP="00B514E4">
      <w:pPr>
        <w:pStyle w:val="Corpsdetexte"/>
        <w:ind w:left="426"/>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w:t>
      </w:r>
      <w:r w:rsidRPr="00B514E4">
        <w:rPr>
          <w:rFonts w:asciiTheme="minorHAnsi" w:hAnsiTheme="minorHAnsi" w:cstheme="minorHAnsi"/>
          <w:sz w:val="24"/>
          <w:szCs w:val="28"/>
          <w:lang w:val="fr-CA"/>
        </w:rPr>
        <w:tab/>
        <w:t>Garder la mémoire</w:t>
      </w:r>
    </w:p>
    <w:p w14:paraId="38C0DD00" w14:textId="77777777" w:rsidR="00B514E4" w:rsidRPr="00B514E4" w:rsidRDefault="00B514E4" w:rsidP="00B514E4">
      <w:pPr>
        <w:pStyle w:val="Corpsdetexte"/>
        <w:ind w:left="426"/>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w:t>
      </w:r>
      <w:r w:rsidRPr="00B514E4">
        <w:rPr>
          <w:rFonts w:asciiTheme="minorHAnsi" w:hAnsiTheme="minorHAnsi" w:cstheme="minorHAnsi"/>
          <w:sz w:val="24"/>
          <w:szCs w:val="28"/>
          <w:lang w:val="fr-CA"/>
        </w:rPr>
        <w:tab/>
        <w:t>S’améliorer</w:t>
      </w:r>
    </w:p>
    <w:p w14:paraId="32E17032" w14:textId="0C681271" w:rsidR="00D33739" w:rsidRDefault="00B514E4" w:rsidP="00B514E4">
      <w:pPr>
        <w:pStyle w:val="Corpsdetexte"/>
        <w:ind w:left="426"/>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w:t>
      </w:r>
      <w:r w:rsidRPr="00B514E4">
        <w:rPr>
          <w:rFonts w:asciiTheme="minorHAnsi" w:hAnsiTheme="minorHAnsi" w:cstheme="minorHAnsi"/>
          <w:sz w:val="24"/>
          <w:szCs w:val="28"/>
          <w:lang w:val="fr-CA"/>
        </w:rPr>
        <w:tab/>
        <w:t>Améliorer la confiance et écouter les retours du terrain</w:t>
      </w:r>
    </w:p>
    <w:p w14:paraId="0F98348C" w14:textId="77777777" w:rsidR="00B514E4" w:rsidRPr="00B514E4" w:rsidRDefault="00B514E4" w:rsidP="00B514E4">
      <w:pPr>
        <w:pStyle w:val="Corpsdetexte"/>
        <w:ind w:left="426"/>
        <w:jc w:val="both"/>
        <w:rPr>
          <w:rFonts w:asciiTheme="minorHAnsi" w:hAnsiTheme="minorHAnsi" w:cstheme="minorHAnsi"/>
          <w:sz w:val="24"/>
          <w:szCs w:val="28"/>
          <w:lang w:val="fr-CA"/>
        </w:rPr>
      </w:pPr>
    </w:p>
    <w:p w14:paraId="0D99EF5B"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5714FE65" w14:textId="77777777" w:rsidR="00B514E4" w:rsidRPr="00B514E4" w:rsidRDefault="00B514E4" w:rsidP="00B514E4">
      <w:pPr>
        <w:ind w:firstLine="72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 xml:space="preserve">Ambert Livradois Forez communauté de communes, comme tous les employeurs de France, a été confronté à la gestion de la crise sanitaire survenue en mars dernier. </w:t>
      </w:r>
      <w:proofErr w:type="spellStart"/>
      <w:r w:rsidRPr="00B514E4">
        <w:rPr>
          <w:rFonts w:asciiTheme="minorHAnsi" w:hAnsiTheme="minorHAnsi" w:cstheme="minorHAnsi"/>
          <w:sz w:val="24"/>
          <w:szCs w:val="28"/>
          <w:lang w:val="fr-CA"/>
        </w:rPr>
        <w:t>A</w:t>
      </w:r>
      <w:proofErr w:type="spellEnd"/>
      <w:r w:rsidRPr="00B514E4">
        <w:rPr>
          <w:rFonts w:asciiTheme="minorHAnsi" w:hAnsiTheme="minorHAnsi" w:cstheme="minorHAnsi"/>
          <w:sz w:val="24"/>
          <w:szCs w:val="28"/>
          <w:lang w:val="fr-CA"/>
        </w:rPr>
        <w:t xml:space="preserve"> ce jour, la crise n’est pas terminée, mais le confinement et la gestion d’urgence le sont.</w:t>
      </w:r>
    </w:p>
    <w:p w14:paraId="5B70491F" w14:textId="77777777" w:rsidR="00B514E4" w:rsidRPr="00B514E4" w:rsidRDefault="00B514E4" w:rsidP="00B514E4">
      <w:pPr>
        <w:ind w:firstLine="72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Face à cette crise inattendue, chacun a fait face aux nécessités sanitaires et aux nouvelles règles au fur et à mesure des évolutions législatives et des connaissances médicales. Certaines choses ont bien fonctionné, d’autres moins bien.</w:t>
      </w:r>
    </w:p>
    <w:p w14:paraId="7DB221B2" w14:textId="77777777" w:rsidR="00B514E4" w:rsidRPr="00B514E4" w:rsidRDefault="00B514E4" w:rsidP="00B514E4">
      <w:pPr>
        <w:ind w:firstLine="72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Porter un projet de retour d’expérience interne permet de capitaliser sur cette crise et la gestion qui en a été faite pour être mieux préparés à faire face à une éventuelle nouvelle crise, qu’elle soit sanitaire ou d’un autre ordre (incendie, inondation, crash informatique…)</w:t>
      </w:r>
    </w:p>
    <w:p w14:paraId="00EE7CA3" w14:textId="77777777" w:rsidR="00D33739" w:rsidRPr="00FE5D8B" w:rsidRDefault="00D33739" w:rsidP="00252272">
      <w:pPr>
        <w:pStyle w:val="Corpsdetexte"/>
        <w:jc w:val="both"/>
        <w:rPr>
          <w:rFonts w:asciiTheme="minorHAnsi" w:hAnsiTheme="minorHAnsi" w:cstheme="minorHAnsi"/>
          <w:sz w:val="24"/>
          <w:szCs w:val="22"/>
          <w:lang w:val="fr-CA"/>
        </w:rPr>
      </w:pPr>
    </w:p>
    <w:p w14:paraId="583018E9" w14:textId="77777777" w:rsidR="00D33739" w:rsidRPr="00FE5D8B" w:rsidRDefault="00D33739" w:rsidP="00252272">
      <w:pPr>
        <w:pStyle w:val="Corpsdetexte"/>
        <w:jc w:val="both"/>
        <w:rPr>
          <w:rFonts w:asciiTheme="minorHAnsi" w:hAnsiTheme="minorHAnsi" w:cstheme="minorHAnsi"/>
          <w:sz w:val="24"/>
          <w:szCs w:val="22"/>
          <w:lang w:val="fr-CA"/>
        </w:rPr>
      </w:pPr>
    </w:p>
    <w:p w14:paraId="4838761E"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lastRenderedPageBreak/>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6981FB41" w14:textId="77777777" w:rsidR="00B514E4" w:rsidRPr="00B514E4" w:rsidRDefault="00B514E4" w:rsidP="00B514E4">
      <w:pPr>
        <w:pStyle w:val="Corpsdetexte"/>
        <w:rPr>
          <w:rFonts w:asciiTheme="minorHAnsi" w:hAnsiTheme="minorHAnsi" w:cstheme="minorHAnsi"/>
          <w:sz w:val="24"/>
          <w:szCs w:val="28"/>
          <w:lang w:val="fr-CA"/>
        </w:rPr>
      </w:pPr>
      <w:r w:rsidRPr="00B514E4">
        <w:rPr>
          <w:rFonts w:asciiTheme="minorHAnsi" w:hAnsiTheme="minorHAnsi" w:cstheme="minorHAnsi"/>
          <w:sz w:val="24"/>
          <w:szCs w:val="28"/>
          <w:lang w:val="fr-CA"/>
        </w:rPr>
        <w:t>Note préalable : il conviendra d’encadrer la procédure afin de ne pas tomber dans le « règlement de comptes ».</w:t>
      </w:r>
    </w:p>
    <w:p w14:paraId="3A90D2AB" w14:textId="77777777" w:rsidR="00B514E4" w:rsidRPr="00B514E4" w:rsidRDefault="00B514E4" w:rsidP="00B514E4">
      <w:pPr>
        <w:pStyle w:val="Corpsdetexte"/>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L’objectif est de libérer la parole, d’identifier les points positifs et les points négatifs, de pérenniser les premiers et d’améliorer les seconds.</w:t>
      </w:r>
    </w:p>
    <w:p w14:paraId="60EEACBB" w14:textId="77777777" w:rsidR="00B514E4" w:rsidRPr="00B514E4" w:rsidRDefault="00B514E4" w:rsidP="00B514E4">
      <w:pPr>
        <w:pStyle w:val="Corpsdetexte"/>
        <w:jc w:val="both"/>
        <w:rPr>
          <w:rFonts w:asciiTheme="minorHAnsi" w:hAnsiTheme="minorHAnsi" w:cstheme="minorHAnsi"/>
          <w:sz w:val="24"/>
          <w:szCs w:val="28"/>
          <w:lang w:val="fr-CA"/>
        </w:rPr>
      </w:pPr>
    </w:p>
    <w:p w14:paraId="3F656E21" w14:textId="77777777" w:rsidR="00B514E4" w:rsidRPr="00B514E4" w:rsidRDefault="00B514E4" w:rsidP="00B514E4">
      <w:pPr>
        <w:pStyle w:val="Corpsdetexte"/>
        <w:jc w:val="both"/>
        <w:rPr>
          <w:rFonts w:asciiTheme="minorHAnsi" w:hAnsiTheme="minorHAnsi" w:cstheme="minorHAnsi"/>
          <w:sz w:val="24"/>
          <w:szCs w:val="28"/>
          <w:lang w:val="fr-CA"/>
        </w:rPr>
      </w:pPr>
    </w:p>
    <w:p w14:paraId="313ECCEB" w14:textId="77777777" w:rsidR="00B514E4" w:rsidRPr="00B514E4" w:rsidRDefault="00B514E4" w:rsidP="00B514E4">
      <w:pPr>
        <w:pStyle w:val="Corpsdetexte"/>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Méthode proposée :</w:t>
      </w:r>
    </w:p>
    <w:p w14:paraId="5148208C" w14:textId="77777777" w:rsidR="00B514E4" w:rsidRPr="00B514E4" w:rsidRDefault="00B514E4" w:rsidP="00B514E4">
      <w:pPr>
        <w:pStyle w:val="Corpsdetexte"/>
        <w:ind w:left="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 xml:space="preserve">1/ Définir les </w:t>
      </w:r>
      <w:proofErr w:type="gramStart"/>
      <w:r w:rsidRPr="00B514E4">
        <w:rPr>
          <w:rFonts w:asciiTheme="minorHAnsi" w:hAnsiTheme="minorHAnsi" w:cstheme="minorHAnsi"/>
          <w:sz w:val="24"/>
          <w:szCs w:val="28"/>
          <w:lang w:val="fr-CA"/>
        </w:rPr>
        <w:t>thématiques  sur</w:t>
      </w:r>
      <w:proofErr w:type="gramEnd"/>
      <w:r w:rsidRPr="00B514E4">
        <w:rPr>
          <w:rFonts w:asciiTheme="minorHAnsi" w:hAnsiTheme="minorHAnsi" w:cstheme="minorHAnsi"/>
          <w:sz w:val="24"/>
          <w:szCs w:val="28"/>
          <w:lang w:val="fr-CA"/>
        </w:rPr>
        <w:t xml:space="preserve"> lesquelles l’EPCI souhaite avoir un retour d’expérience</w:t>
      </w:r>
    </w:p>
    <w:p w14:paraId="57157825"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Continuité de services et relations aux usagers</w:t>
      </w:r>
    </w:p>
    <w:p w14:paraId="6DAF02BF"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Qualité de vie des agents durant la période</w:t>
      </w:r>
    </w:p>
    <w:p w14:paraId="6E095B63"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Communication interne et externe</w:t>
      </w:r>
    </w:p>
    <w:p w14:paraId="7803C47F" w14:textId="77777777" w:rsidR="00B514E4" w:rsidRPr="00B514E4" w:rsidRDefault="00B514E4" w:rsidP="00B514E4">
      <w:pPr>
        <w:pStyle w:val="Corpsdetexte"/>
        <w:ind w:firstLine="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2/ Mettre en place un groupe de travail</w:t>
      </w:r>
    </w:p>
    <w:p w14:paraId="43962CC1"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1 COPIL qui donne l’orientation politique et valide les différentes étapes (analyses, pistes d’action…)</w:t>
      </w:r>
    </w:p>
    <w:p w14:paraId="733FC240"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1 groupe de travail qui construit les outils, analyse les retours, synthétise les propositions</w:t>
      </w:r>
    </w:p>
    <w:p w14:paraId="700BFECB"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1 chef de projet qui rédige les synthèses, les comptes-rendus, anime les réunions et rend compte au COPIL</w:t>
      </w:r>
    </w:p>
    <w:p w14:paraId="173AA12B" w14:textId="77777777" w:rsidR="00B514E4" w:rsidRPr="00B514E4" w:rsidRDefault="00B514E4" w:rsidP="00B514E4">
      <w:pPr>
        <w:pStyle w:val="Corpsdetexte"/>
        <w:ind w:left="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3/ Établir un diagnostic par thématique</w:t>
      </w:r>
    </w:p>
    <w:p w14:paraId="3F45A5FE"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Déterminer les modalités de recueil du vécu (auprès des usagers, auprès des élus, auprès des agents)</w:t>
      </w:r>
    </w:p>
    <w:p w14:paraId="6DFDE407"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Définir les informations recherchées pour les valoriser dans le PCA</w:t>
      </w:r>
    </w:p>
    <w:p w14:paraId="4021C9D1" w14:textId="77777777" w:rsidR="00B514E4" w:rsidRPr="00B514E4" w:rsidRDefault="00B514E4" w:rsidP="00B514E4">
      <w:pPr>
        <w:pStyle w:val="Corpsdetexte"/>
        <w:numPr>
          <w:ilvl w:val="2"/>
          <w:numId w:val="19"/>
        </w:numPr>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Laisser la liberté de parole pour identifier les manques</w:t>
      </w:r>
    </w:p>
    <w:p w14:paraId="6B4838B4" w14:textId="77777777" w:rsidR="00B514E4" w:rsidRPr="00B514E4" w:rsidRDefault="00B514E4" w:rsidP="00B514E4">
      <w:pPr>
        <w:pStyle w:val="Corpsdetexte"/>
        <w:ind w:left="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 xml:space="preserve">4/ Analyser les retours </w:t>
      </w:r>
    </w:p>
    <w:p w14:paraId="4CB4532A" w14:textId="77777777" w:rsidR="00B514E4" w:rsidRPr="00B514E4" w:rsidRDefault="00B514E4" w:rsidP="00B514E4">
      <w:pPr>
        <w:pStyle w:val="Corpsdetexte"/>
        <w:ind w:left="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5/ Synthétiser les améliorations à apporter pour les formaliser dans le plan de continuité de l’activité (PCA)</w:t>
      </w:r>
    </w:p>
    <w:p w14:paraId="3CE7632D" w14:textId="77777777" w:rsidR="00B514E4" w:rsidRPr="00B514E4" w:rsidRDefault="00B514E4" w:rsidP="00B514E4">
      <w:pPr>
        <w:pStyle w:val="Corpsdetexte"/>
        <w:ind w:left="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6/ Examiner la possibilité d’extrapoler ces enseignements vers la gestion de crises d’un autre type</w:t>
      </w:r>
    </w:p>
    <w:p w14:paraId="13D484ED" w14:textId="77777777" w:rsidR="00B514E4" w:rsidRPr="00B514E4" w:rsidRDefault="00B514E4" w:rsidP="00B514E4">
      <w:pPr>
        <w:pStyle w:val="Corpsdetexte"/>
        <w:ind w:left="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7/ mettre en place un protocole d’actualisation du PCA</w:t>
      </w:r>
    </w:p>
    <w:p w14:paraId="033C4098" w14:textId="28EE48AB" w:rsidR="008F6152" w:rsidRDefault="00B514E4" w:rsidP="00B514E4">
      <w:pPr>
        <w:pStyle w:val="Corpsdetexte"/>
        <w:ind w:left="360"/>
        <w:jc w:val="both"/>
        <w:rPr>
          <w:rFonts w:asciiTheme="minorHAnsi" w:hAnsiTheme="minorHAnsi" w:cstheme="minorHAnsi"/>
          <w:sz w:val="24"/>
          <w:szCs w:val="28"/>
          <w:lang w:val="fr-CA"/>
        </w:rPr>
      </w:pPr>
      <w:r w:rsidRPr="00B514E4">
        <w:rPr>
          <w:rFonts w:asciiTheme="minorHAnsi" w:hAnsiTheme="minorHAnsi" w:cstheme="minorHAnsi"/>
          <w:sz w:val="24"/>
          <w:szCs w:val="28"/>
          <w:lang w:val="fr-CA"/>
        </w:rPr>
        <w:t>8/ Se doter d’outils d’évaluation</w:t>
      </w:r>
    </w:p>
    <w:p w14:paraId="119177CB" w14:textId="77777777" w:rsidR="00B514E4" w:rsidRDefault="00B514E4" w:rsidP="00B514E4">
      <w:pPr>
        <w:pStyle w:val="Corpsdetexte"/>
        <w:ind w:left="360"/>
        <w:jc w:val="both"/>
        <w:rPr>
          <w:sz w:val="24"/>
          <w:szCs w:val="22"/>
          <w:lang w:val="fr-CA"/>
        </w:rPr>
      </w:pPr>
    </w:p>
    <w:p w14:paraId="545CF23E" w14:textId="7D85D035" w:rsidR="00B514E4" w:rsidRPr="00B514E4" w:rsidRDefault="00B514E4" w:rsidP="00B514E4">
      <w:pPr>
        <w:pStyle w:val="Corpsdetexte"/>
        <w:jc w:val="both"/>
        <w:rPr>
          <w:rFonts w:asciiTheme="minorHAnsi" w:hAnsiTheme="minorHAnsi" w:cstheme="minorHAnsi"/>
          <w:lang w:val="fr-CA"/>
        </w:rPr>
      </w:pPr>
      <w:r w:rsidRPr="00B514E4">
        <w:rPr>
          <w:rFonts w:asciiTheme="minorHAnsi" w:hAnsiTheme="minorHAnsi" w:cstheme="minorHAnsi"/>
          <w:lang w:val="fr-CA"/>
        </w:rPr>
        <w:lastRenderedPageBreak/>
        <w:t>Possibilités :</w:t>
      </w:r>
    </w:p>
    <w:p w14:paraId="0CC61BC7" w14:textId="3B038108" w:rsidR="00B514E4" w:rsidRP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Il est possible de confier la totalité de la mission à un bureau d’étude externe.</w:t>
      </w:r>
    </w:p>
    <w:p w14:paraId="2724604F" w14:textId="3148DE18" w:rsidR="00B514E4" w:rsidRP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 xml:space="preserve">Il est possible de porter le projet en interne et de faire </w:t>
      </w:r>
      <w:r w:rsidRPr="00B514E4">
        <w:rPr>
          <w:rFonts w:asciiTheme="minorHAnsi" w:hAnsiTheme="minorHAnsi" w:cstheme="minorHAnsi"/>
          <w:lang w:val="fr-CA"/>
        </w:rPr>
        <w:t>appel à</w:t>
      </w:r>
      <w:r w:rsidRPr="00B514E4">
        <w:rPr>
          <w:rFonts w:asciiTheme="minorHAnsi" w:hAnsiTheme="minorHAnsi" w:cstheme="minorHAnsi"/>
          <w:lang w:val="fr-CA"/>
        </w:rPr>
        <w:t xml:space="preserve"> un prestataire extérieur qui jouerait le rôle de tiers de neutralité pour les phases 3, 4, 5 et 6 </w:t>
      </w:r>
    </w:p>
    <w:p w14:paraId="398F8753" w14:textId="4FF0E9B4" w:rsidR="00B514E4" w:rsidRP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Il est possible de porter la totalité du projet en interne</w:t>
      </w:r>
    </w:p>
    <w:tbl>
      <w:tblPr>
        <w:tblpPr w:leftFromText="141" w:rightFromText="141" w:vertAnchor="text" w:horzAnchor="margin" w:tblpY="2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3685"/>
      </w:tblGrid>
      <w:tr w:rsidR="00B514E4" w:rsidRPr="00B514E4" w14:paraId="78A95AF9" w14:textId="77777777" w:rsidTr="00BB7960">
        <w:tc>
          <w:tcPr>
            <w:tcW w:w="2235" w:type="dxa"/>
            <w:vAlign w:val="center"/>
          </w:tcPr>
          <w:p w14:paraId="52473FB6" w14:textId="77777777" w:rsidR="00B514E4" w:rsidRPr="00B514E4" w:rsidRDefault="00B514E4" w:rsidP="00BB7960">
            <w:pPr>
              <w:pStyle w:val="Corpsdetexte"/>
              <w:jc w:val="center"/>
              <w:rPr>
                <w:rFonts w:asciiTheme="minorHAnsi" w:hAnsiTheme="minorHAnsi" w:cstheme="minorHAnsi"/>
                <w:b/>
                <w:bCs/>
                <w:sz w:val="24"/>
                <w:szCs w:val="28"/>
                <w:lang w:val="fr-CA"/>
              </w:rPr>
            </w:pPr>
            <w:r w:rsidRPr="00B514E4">
              <w:rPr>
                <w:rFonts w:asciiTheme="minorHAnsi" w:hAnsiTheme="minorHAnsi" w:cstheme="minorHAnsi"/>
                <w:b/>
                <w:bCs/>
                <w:sz w:val="24"/>
                <w:szCs w:val="28"/>
                <w:lang w:val="fr-CA"/>
              </w:rPr>
              <w:t>Solution retenue</w:t>
            </w:r>
          </w:p>
        </w:tc>
        <w:tc>
          <w:tcPr>
            <w:tcW w:w="3260" w:type="dxa"/>
            <w:vAlign w:val="center"/>
          </w:tcPr>
          <w:p w14:paraId="12640AAD" w14:textId="00E4BA78" w:rsidR="00B514E4" w:rsidRPr="00B514E4" w:rsidRDefault="00B514E4" w:rsidP="00BB7960">
            <w:pPr>
              <w:pStyle w:val="Corpsdetexte"/>
              <w:jc w:val="center"/>
              <w:rPr>
                <w:rFonts w:asciiTheme="minorHAnsi" w:hAnsiTheme="minorHAnsi" w:cstheme="minorHAnsi"/>
                <w:b/>
                <w:bCs/>
                <w:sz w:val="24"/>
                <w:szCs w:val="28"/>
                <w:lang w:val="fr-CA"/>
              </w:rPr>
            </w:pPr>
            <w:r w:rsidRPr="00B514E4">
              <w:rPr>
                <w:rFonts w:asciiTheme="minorHAnsi" w:hAnsiTheme="minorHAnsi" w:cstheme="minorHAnsi"/>
                <w:b/>
                <w:bCs/>
                <w:sz w:val="24"/>
                <w:szCs w:val="28"/>
                <w:lang w:val="fr-CA"/>
              </w:rPr>
              <w:t>Avantages</w:t>
            </w:r>
          </w:p>
        </w:tc>
        <w:tc>
          <w:tcPr>
            <w:tcW w:w="3685" w:type="dxa"/>
            <w:vAlign w:val="center"/>
          </w:tcPr>
          <w:p w14:paraId="22FA555B" w14:textId="5C1C89EF" w:rsidR="00B514E4" w:rsidRPr="00B514E4" w:rsidRDefault="00B514E4" w:rsidP="00BB7960">
            <w:pPr>
              <w:pStyle w:val="Corpsdetexte"/>
              <w:jc w:val="center"/>
              <w:rPr>
                <w:rFonts w:asciiTheme="minorHAnsi" w:hAnsiTheme="minorHAnsi" w:cstheme="minorHAnsi"/>
                <w:b/>
                <w:bCs/>
                <w:sz w:val="24"/>
                <w:szCs w:val="28"/>
                <w:lang w:val="fr-CA"/>
              </w:rPr>
            </w:pPr>
            <w:r w:rsidRPr="00B514E4">
              <w:rPr>
                <w:rFonts w:asciiTheme="minorHAnsi" w:hAnsiTheme="minorHAnsi" w:cstheme="minorHAnsi"/>
                <w:b/>
                <w:bCs/>
                <w:sz w:val="24"/>
                <w:szCs w:val="28"/>
                <w:lang w:val="fr-CA"/>
              </w:rPr>
              <w:t>Inconvénients</w:t>
            </w:r>
          </w:p>
        </w:tc>
      </w:tr>
      <w:tr w:rsidR="00B514E4" w:rsidRPr="00B514E4" w14:paraId="72E71BF8" w14:textId="77777777" w:rsidTr="00BB7960">
        <w:tc>
          <w:tcPr>
            <w:tcW w:w="2235" w:type="dxa"/>
            <w:vAlign w:val="center"/>
          </w:tcPr>
          <w:p w14:paraId="1413F746" w14:textId="77777777" w:rsidR="00B514E4" w:rsidRPr="00B514E4" w:rsidRDefault="00B514E4" w:rsidP="00BB7960">
            <w:pPr>
              <w:pStyle w:val="Corpsdetexte"/>
              <w:jc w:val="center"/>
              <w:rPr>
                <w:rFonts w:asciiTheme="minorHAnsi" w:hAnsiTheme="minorHAnsi" w:cstheme="minorHAnsi"/>
                <w:b/>
                <w:bCs/>
                <w:sz w:val="24"/>
                <w:szCs w:val="28"/>
                <w:lang w:val="fr-CA"/>
              </w:rPr>
            </w:pPr>
            <w:r w:rsidRPr="00B514E4">
              <w:rPr>
                <w:rFonts w:asciiTheme="minorHAnsi" w:hAnsiTheme="minorHAnsi" w:cstheme="minorHAnsi"/>
                <w:b/>
                <w:bCs/>
                <w:sz w:val="24"/>
                <w:szCs w:val="28"/>
                <w:lang w:val="fr-CA"/>
              </w:rPr>
              <w:t>Interne</w:t>
            </w:r>
          </w:p>
        </w:tc>
        <w:tc>
          <w:tcPr>
            <w:tcW w:w="3260" w:type="dxa"/>
            <w:vAlign w:val="center"/>
          </w:tcPr>
          <w:p w14:paraId="5D01F2CC" w14:textId="77777777" w:rsidR="00B514E4" w:rsidRPr="00B514E4" w:rsidRDefault="00B514E4" w:rsidP="00BB7960">
            <w:pPr>
              <w:pStyle w:val="Corpsdetexte"/>
              <w:jc w:val="center"/>
              <w:rPr>
                <w:rFonts w:asciiTheme="minorHAnsi" w:hAnsiTheme="minorHAnsi" w:cstheme="minorHAnsi"/>
                <w:sz w:val="24"/>
                <w:szCs w:val="28"/>
                <w:lang w:val="fr-CA"/>
              </w:rPr>
            </w:pPr>
            <w:r w:rsidRPr="00B514E4">
              <w:rPr>
                <w:rFonts w:asciiTheme="minorHAnsi" w:hAnsiTheme="minorHAnsi" w:cstheme="minorHAnsi"/>
                <w:sz w:val="24"/>
                <w:szCs w:val="28"/>
                <w:lang w:val="fr-CA"/>
              </w:rPr>
              <w:t>Pas de coût supplémentaire</w:t>
            </w:r>
          </w:p>
        </w:tc>
        <w:tc>
          <w:tcPr>
            <w:tcW w:w="3685" w:type="dxa"/>
            <w:vAlign w:val="center"/>
          </w:tcPr>
          <w:p w14:paraId="2ECC690E" w14:textId="77777777" w:rsidR="00B514E4" w:rsidRPr="00B514E4" w:rsidRDefault="00B514E4" w:rsidP="00BB7960">
            <w:pPr>
              <w:pStyle w:val="Corpsdetexte"/>
              <w:jc w:val="center"/>
              <w:rPr>
                <w:rFonts w:asciiTheme="minorHAnsi" w:hAnsiTheme="minorHAnsi" w:cstheme="minorHAnsi"/>
                <w:sz w:val="24"/>
                <w:szCs w:val="28"/>
                <w:lang w:val="fr-CA"/>
              </w:rPr>
            </w:pPr>
            <w:r w:rsidRPr="00B514E4">
              <w:rPr>
                <w:rFonts w:asciiTheme="minorHAnsi" w:hAnsiTheme="minorHAnsi" w:cstheme="minorHAnsi"/>
                <w:sz w:val="24"/>
                <w:szCs w:val="28"/>
                <w:lang w:val="fr-CA"/>
              </w:rPr>
              <w:t>Manque de neutralité</w:t>
            </w:r>
          </w:p>
        </w:tc>
      </w:tr>
      <w:tr w:rsidR="00B514E4" w:rsidRPr="00B514E4" w14:paraId="685676BB" w14:textId="77777777" w:rsidTr="00BB7960">
        <w:tc>
          <w:tcPr>
            <w:tcW w:w="2235" w:type="dxa"/>
            <w:vAlign w:val="center"/>
          </w:tcPr>
          <w:p w14:paraId="2728E9CA" w14:textId="77777777" w:rsidR="00B514E4" w:rsidRPr="00B514E4" w:rsidRDefault="00B514E4" w:rsidP="00BB7960">
            <w:pPr>
              <w:pStyle w:val="Corpsdetexte"/>
              <w:jc w:val="center"/>
              <w:rPr>
                <w:rFonts w:asciiTheme="minorHAnsi" w:hAnsiTheme="minorHAnsi" w:cstheme="minorHAnsi"/>
                <w:b/>
                <w:bCs/>
                <w:sz w:val="24"/>
                <w:szCs w:val="28"/>
                <w:lang w:val="fr-CA"/>
              </w:rPr>
            </w:pPr>
            <w:r w:rsidRPr="00B514E4">
              <w:rPr>
                <w:rFonts w:asciiTheme="minorHAnsi" w:hAnsiTheme="minorHAnsi" w:cstheme="minorHAnsi"/>
                <w:b/>
                <w:bCs/>
                <w:sz w:val="24"/>
                <w:szCs w:val="28"/>
                <w:lang w:val="fr-CA"/>
              </w:rPr>
              <w:t>Prestataire extérieur</w:t>
            </w:r>
          </w:p>
        </w:tc>
        <w:tc>
          <w:tcPr>
            <w:tcW w:w="3260" w:type="dxa"/>
            <w:vAlign w:val="center"/>
          </w:tcPr>
          <w:p w14:paraId="679DA50D" w14:textId="77777777" w:rsidR="00B514E4" w:rsidRPr="00B514E4" w:rsidRDefault="00B514E4" w:rsidP="00BB7960">
            <w:pPr>
              <w:pStyle w:val="Corpsdetexte"/>
              <w:jc w:val="center"/>
              <w:rPr>
                <w:rFonts w:asciiTheme="minorHAnsi" w:hAnsiTheme="minorHAnsi" w:cstheme="minorHAnsi"/>
                <w:sz w:val="24"/>
                <w:szCs w:val="28"/>
                <w:lang w:val="fr-CA"/>
              </w:rPr>
            </w:pPr>
            <w:r w:rsidRPr="00B514E4">
              <w:rPr>
                <w:rFonts w:asciiTheme="minorHAnsi" w:hAnsiTheme="minorHAnsi" w:cstheme="minorHAnsi"/>
                <w:sz w:val="24"/>
                <w:szCs w:val="28"/>
                <w:lang w:val="fr-CA"/>
              </w:rPr>
              <w:t>Libère la parole</w:t>
            </w:r>
          </w:p>
          <w:p w14:paraId="25D1C62E" w14:textId="77777777" w:rsidR="00B514E4" w:rsidRPr="00B514E4" w:rsidRDefault="00B514E4" w:rsidP="00BB7960">
            <w:pPr>
              <w:pStyle w:val="Corpsdetexte"/>
              <w:jc w:val="center"/>
              <w:rPr>
                <w:rFonts w:asciiTheme="minorHAnsi" w:hAnsiTheme="minorHAnsi" w:cstheme="minorHAnsi"/>
                <w:sz w:val="24"/>
                <w:szCs w:val="28"/>
                <w:lang w:val="fr-CA"/>
              </w:rPr>
            </w:pPr>
            <w:r w:rsidRPr="00B514E4">
              <w:rPr>
                <w:rFonts w:asciiTheme="minorHAnsi" w:hAnsiTheme="minorHAnsi" w:cstheme="minorHAnsi"/>
                <w:sz w:val="24"/>
                <w:szCs w:val="28"/>
                <w:lang w:val="fr-CA"/>
              </w:rPr>
              <w:t>Neutralité dans l’analyse</w:t>
            </w:r>
          </w:p>
        </w:tc>
        <w:tc>
          <w:tcPr>
            <w:tcW w:w="3685" w:type="dxa"/>
            <w:vAlign w:val="center"/>
          </w:tcPr>
          <w:p w14:paraId="7BACA01C" w14:textId="77777777" w:rsidR="00B514E4" w:rsidRPr="00B514E4" w:rsidRDefault="00B514E4" w:rsidP="00BB7960">
            <w:pPr>
              <w:pStyle w:val="Corpsdetexte"/>
              <w:jc w:val="center"/>
              <w:rPr>
                <w:rFonts w:asciiTheme="minorHAnsi" w:hAnsiTheme="minorHAnsi" w:cstheme="minorHAnsi"/>
                <w:sz w:val="24"/>
                <w:szCs w:val="28"/>
                <w:lang w:val="fr-CA"/>
              </w:rPr>
            </w:pPr>
            <w:r w:rsidRPr="00B514E4">
              <w:rPr>
                <w:rFonts w:asciiTheme="minorHAnsi" w:hAnsiTheme="minorHAnsi" w:cstheme="minorHAnsi"/>
                <w:sz w:val="24"/>
                <w:szCs w:val="28"/>
                <w:lang w:val="fr-CA"/>
              </w:rPr>
              <w:t>Coût financier</w:t>
            </w:r>
          </w:p>
          <w:p w14:paraId="2887445D" w14:textId="77777777" w:rsidR="00B514E4" w:rsidRPr="00B514E4" w:rsidRDefault="00B514E4" w:rsidP="00BB7960">
            <w:pPr>
              <w:pStyle w:val="Corpsdetexte"/>
              <w:jc w:val="center"/>
              <w:rPr>
                <w:rFonts w:asciiTheme="minorHAnsi" w:hAnsiTheme="minorHAnsi" w:cstheme="minorHAnsi"/>
                <w:sz w:val="24"/>
                <w:szCs w:val="28"/>
                <w:lang w:val="fr-CA"/>
              </w:rPr>
            </w:pPr>
            <w:r w:rsidRPr="00B514E4">
              <w:rPr>
                <w:rFonts w:asciiTheme="minorHAnsi" w:hAnsiTheme="minorHAnsi" w:cstheme="minorHAnsi"/>
                <w:sz w:val="24"/>
                <w:szCs w:val="28"/>
                <w:lang w:val="fr-CA"/>
              </w:rPr>
              <w:t>Méconnaissance de l’établissement</w:t>
            </w:r>
          </w:p>
        </w:tc>
      </w:tr>
    </w:tbl>
    <w:p w14:paraId="5815C0B2" w14:textId="77777777" w:rsidR="00B514E4" w:rsidRPr="00B514E4" w:rsidRDefault="00B514E4" w:rsidP="00B514E4">
      <w:pPr>
        <w:pStyle w:val="Corpsdetexte"/>
        <w:ind w:left="360"/>
        <w:jc w:val="both"/>
        <w:rPr>
          <w:rFonts w:asciiTheme="minorHAnsi" w:hAnsiTheme="minorHAnsi" w:cstheme="minorHAnsi"/>
          <w:sz w:val="24"/>
          <w:szCs w:val="28"/>
          <w:lang w:val="fr-CA"/>
        </w:rPr>
      </w:pPr>
    </w:p>
    <w:p w14:paraId="558E418F" w14:textId="77777777" w:rsidR="00B514E4" w:rsidRPr="00B514E4" w:rsidRDefault="00B514E4" w:rsidP="00B514E4">
      <w:pPr>
        <w:pStyle w:val="Corpsdetexte"/>
        <w:jc w:val="both"/>
        <w:rPr>
          <w:rFonts w:asciiTheme="minorHAnsi" w:hAnsiTheme="minorHAnsi" w:cstheme="minorHAnsi"/>
          <w:lang w:val="fr-CA"/>
        </w:rPr>
      </w:pPr>
      <w:r w:rsidRPr="00B514E4">
        <w:rPr>
          <w:rFonts w:asciiTheme="minorHAnsi" w:hAnsiTheme="minorHAnsi" w:cstheme="minorHAnsi"/>
          <w:lang w:val="fr-CA"/>
        </w:rPr>
        <w:t>Des échanges sont en cours avec le CNFPT qui s’est proposé d’accompagner l’établissement dans sa démarche. Un intervenant pédagogique serait recruté par le CNFPT pour apporter les éléments de formation qui émergerait de ce RETEX. Nous sommes dans l’attente d’un retour de leur part concernant le rôle de prestataire et tiers de neutralité.</w:t>
      </w:r>
    </w:p>
    <w:p w14:paraId="58668CD4" w14:textId="77777777" w:rsidR="00B514E4" w:rsidRPr="00B514E4" w:rsidRDefault="00B514E4" w:rsidP="00B514E4">
      <w:pPr>
        <w:pStyle w:val="Corpsdetexte"/>
        <w:ind w:left="360"/>
        <w:jc w:val="both"/>
        <w:rPr>
          <w:rFonts w:asciiTheme="minorHAnsi" w:hAnsiTheme="minorHAnsi" w:cstheme="minorHAnsi"/>
          <w:sz w:val="24"/>
          <w:szCs w:val="28"/>
          <w:lang w:val="fr-CA"/>
        </w:rPr>
      </w:pPr>
    </w:p>
    <w:p w14:paraId="3986C436" w14:textId="77777777"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02221FEB" w14:textId="77777777" w:rsidR="00D33739" w:rsidRPr="00FE5D8B" w:rsidRDefault="00D33739" w:rsidP="00252272">
      <w:pPr>
        <w:pStyle w:val="Corpsdetexte"/>
        <w:jc w:val="both"/>
        <w:rPr>
          <w:rFonts w:asciiTheme="minorHAnsi" w:hAnsiTheme="minorHAnsi" w:cstheme="minorHAnsi"/>
          <w:sz w:val="20"/>
          <w:szCs w:val="18"/>
          <w:lang w:val="fr-CA"/>
        </w:rPr>
      </w:pPr>
    </w:p>
    <w:p w14:paraId="22BA7294" w14:textId="77777777" w:rsidR="00B514E4" w:rsidRPr="00B514E4" w:rsidRDefault="00B514E4" w:rsidP="00B514E4">
      <w:pPr>
        <w:pStyle w:val="Corpsdetexte"/>
        <w:jc w:val="both"/>
        <w:rPr>
          <w:rFonts w:asciiTheme="minorHAnsi" w:hAnsiTheme="minorHAnsi" w:cstheme="minorHAnsi"/>
          <w:lang w:val="fr-CA"/>
        </w:rPr>
      </w:pPr>
      <w:r w:rsidRPr="00B514E4">
        <w:rPr>
          <w:rFonts w:asciiTheme="minorHAnsi" w:hAnsiTheme="minorHAnsi" w:cstheme="minorHAnsi"/>
          <w:lang w:val="fr-CA"/>
        </w:rPr>
        <w:t>Aucune obligation légale de retour d’expérience sur la gestion de la crise.</w:t>
      </w:r>
    </w:p>
    <w:p w14:paraId="65CA4C97" w14:textId="0FFBFB3A" w:rsidR="00B514E4" w:rsidRPr="00B514E4" w:rsidRDefault="00B514E4" w:rsidP="00B514E4">
      <w:pPr>
        <w:pStyle w:val="Corpsdetexte"/>
        <w:jc w:val="both"/>
        <w:rPr>
          <w:rFonts w:asciiTheme="minorHAnsi" w:hAnsiTheme="minorHAnsi" w:cstheme="minorHAnsi"/>
          <w:lang w:val="fr-CA"/>
        </w:rPr>
      </w:pPr>
      <w:r w:rsidRPr="00B514E4">
        <w:rPr>
          <w:rFonts w:asciiTheme="minorHAnsi" w:hAnsiTheme="minorHAnsi" w:cstheme="minorHAnsi"/>
          <w:lang w:val="fr-CA"/>
        </w:rPr>
        <w:t>Le risque de non</w:t>
      </w:r>
      <w:r w:rsidRPr="00B514E4">
        <w:rPr>
          <w:rFonts w:asciiTheme="minorHAnsi" w:hAnsiTheme="minorHAnsi" w:cstheme="minorHAnsi"/>
          <w:lang w:val="fr-CA"/>
        </w:rPr>
        <w:t>-</w:t>
      </w:r>
      <w:r w:rsidRPr="00B514E4">
        <w:rPr>
          <w:rFonts w:asciiTheme="minorHAnsi" w:hAnsiTheme="minorHAnsi" w:cstheme="minorHAnsi"/>
          <w:lang w:val="fr-CA"/>
        </w:rPr>
        <w:t>réalisation est de ne pas prendre un temps de recul par rapport à la gestion de la crise. Ce temps de recul permettrait de capitaliser les enseignements des évènements afin de reproduire ce qui a bien fonctionné et d’améliorer ce qui n’a pas été pertinent.</w:t>
      </w:r>
    </w:p>
    <w:p w14:paraId="16AE3321" w14:textId="77777777" w:rsidR="00947094" w:rsidRPr="00FE5D8B" w:rsidRDefault="00947094" w:rsidP="00252272">
      <w:pPr>
        <w:pStyle w:val="Corpsdetexte"/>
        <w:jc w:val="both"/>
        <w:rPr>
          <w:rFonts w:asciiTheme="minorHAnsi" w:hAnsiTheme="minorHAnsi" w:cstheme="minorHAnsi"/>
          <w:lang w:val="fr-CA"/>
        </w:rPr>
      </w:pPr>
    </w:p>
    <w:p w14:paraId="33EC4365" w14:textId="7777777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3F079FB8" w14:textId="43F47878" w:rsidR="00B514E4" w:rsidRPr="00B514E4" w:rsidRDefault="00B514E4" w:rsidP="00B514E4">
      <w:pPr>
        <w:pStyle w:val="Corpsdetexte"/>
        <w:numPr>
          <w:ilvl w:val="0"/>
          <w:numId w:val="19"/>
        </w:numPr>
        <w:jc w:val="both"/>
        <w:rPr>
          <w:rFonts w:asciiTheme="minorHAnsi" w:hAnsiTheme="minorHAnsi" w:cstheme="minorHAnsi"/>
          <w:lang w:val="fr-CA"/>
        </w:rPr>
      </w:pPr>
      <w:bookmarkStart w:id="3" w:name="_Toc18671687"/>
      <w:r w:rsidRPr="00B514E4">
        <w:rPr>
          <w:rFonts w:asciiTheme="minorHAnsi" w:hAnsiTheme="minorHAnsi" w:cstheme="minorHAnsi"/>
          <w:lang w:val="fr-CA"/>
        </w:rPr>
        <w:t>1 COPIL qui donne l’orientation politique et valide les différentes étapes (analyses, pistes d’action…). Ce Comité de pilotage doit être composé d’élus. Il peut s’agir du bureau ou bien d’élus intéressés au projet qui seront habilité à prendre des décisions pour valider les différentes étapes.</w:t>
      </w:r>
    </w:p>
    <w:p w14:paraId="6D9DBC3D" w14:textId="77777777" w:rsid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 xml:space="preserve">1 groupe de travail qui construit les outils, analyse les retours, synthétise les propositions : selon le choix de scénario qui est fait et la présence ou non d’un prestataire extérieur. </w:t>
      </w:r>
    </w:p>
    <w:p w14:paraId="3606AC37" w14:textId="0661B65D" w:rsidR="00B514E4" w:rsidRPr="00B514E4" w:rsidRDefault="00B514E4" w:rsidP="00B514E4">
      <w:pPr>
        <w:pStyle w:val="Corpsdetexte"/>
        <w:numPr>
          <w:ilvl w:val="1"/>
          <w:numId w:val="19"/>
        </w:numPr>
        <w:jc w:val="both"/>
        <w:rPr>
          <w:rFonts w:asciiTheme="minorHAnsi" w:hAnsiTheme="minorHAnsi" w:cstheme="minorHAnsi"/>
          <w:lang w:val="fr-CA"/>
        </w:rPr>
      </w:pPr>
      <w:r w:rsidRPr="00B514E4">
        <w:rPr>
          <w:rFonts w:asciiTheme="minorHAnsi" w:hAnsiTheme="minorHAnsi" w:cstheme="minorHAnsi"/>
          <w:lang w:val="fr-CA"/>
        </w:rPr>
        <w:t xml:space="preserve">Ce groupe de travail devrait inclure les représentants du personnel. </w:t>
      </w:r>
    </w:p>
    <w:p w14:paraId="39098416" w14:textId="32E2BEAC" w:rsidR="00B514E4" w:rsidRPr="00B514E4" w:rsidRDefault="00B514E4" w:rsidP="00B514E4">
      <w:pPr>
        <w:pStyle w:val="Corpsdetexte"/>
        <w:numPr>
          <w:ilvl w:val="1"/>
          <w:numId w:val="19"/>
        </w:numPr>
        <w:jc w:val="both"/>
        <w:rPr>
          <w:rFonts w:asciiTheme="minorHAnsi" w:hAnsiTheme="minorHAnsi" w:cstheme="minorHAnsi"/>
          <w:lang w:val="fr-CA"/>
        </w:rPr>
      </w:pPr>
      <w:r w:rsidRPr="00B514E4">
        <w:rPr>
          <w:rFonts w:asciiTheme="minorHAnsi" w:hAnsiTheme="minorHAnsi" w:cstheme="minorHAnsi"/>
          <w:lang w:val="fr-CA"/>
        </w:rPr>
        <w:t>Les membres de la cellule de crise?</w:t>
      </w:r>
    </w:p>
    <w:p w14:paraId="3D1D0C1F" w14:textId="54C8812D" w:rsidR="00B514E4" w:rsidRPr="00B514E4" w:rsidRDefault="00B514E4" w:rsidP="00B514E4">
      <w:pPr>
        <w:pStyle w:val="Corpsdetexte"/>
        <w:numPr>
          <w:ilvl w:val="1"/>
          <w:numId w:val="19"/>
        </w:numPr>
        <w:jc w:val="both"/>
        <w:rPr>
          <w:rFonts w:asciiTheme="minorHAnsi" w:hAnsiTheme="minorHAnsi" w:cstheme="minorHAnsi"/>
          <w:lang w:val="fr-CA"/>
        </w:rPr>
      </w:pPr>
      <w:r w:rsidRPr="00B514E4">
        <w:rPr>
          <w:rFonts w:asciiTheme="minorHAnsi" w:hAnsiTheme="minorHAnsi" w:cstheme="minorHAnsi"/>
          <w:lang w:val="fr-CA"/>
        </w:rPr>
        <w:lastRenderedPageBreak/>
        <w:t>Des porte-paroles volontaires des différents groupes durant la crise (agents restés sur le terrain, télétravailleurs, confinés…) ?</w:t>
      </w:r>
    </w:p>
    <w:p w14:paraId="1E66C9B8" w14:textId="6D72E13A" w:rsidR="00B514E4" w:rsidRP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1 chef de projet qui rédige les synthèses, les comptes-rendus, anime les réunions et rend compte au COPIL</w:t>
      </w:r>
    </w:p>
    <w:p w14:paraId="68A9EBC3" w14:textId="77777777" w:rsidR="00A229C3" w:rsidRPr="00FE5D8B" w:rsidRDefault="00A229C3" w:rsidP="00252272">
      <w:pPr>
        <w:pStyle w:val="Titre1"/>
        <w:jc w:val="both"/>
        <w:rPr>
          <w:rFonts w:asciiTheme="minorHAnsi" w:hAnsiTheme="minorHAnsi" w:cstheme="minorHAnsi"/>
          <w:color w:val="006A76"/>
          <w:sz w:val="24"/>
          <w:szCs w:val="18"/>
          <w:lang w:val="fr-CA"/>
        </w:rPr>
      </w:pPr>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37678762" w14:textId="77777777" w:rsidR="00B514E4" w:rsidRPr="00B514E4" w:rsidRDefault="00B514E4" w:rsidP="00B514E4">
      <w:pPr>
        <w:pStyle w:val="Corpsdetexte"/>
        <w:jc w:val="both"/>
        <w:rPr>
          <w:rFonts w:asciiTheme="minorHAnsi" w:hAnsiTheme="minorHAnsi" w:cstheme="minorHAnsi"/>
          <w:lang w:val="fr-CA"/>
        </w:rPr>
      </w:pPr>
      <w:r w:rsidRPr="00B514E4">
        <w:rPr>
          <w:rFonts w:asciiTheme="minorHAnsi" w:hAnsiTheme="minorHAnsi" w:cstheme="minorHAnsi"/>
          <w:lang w:val="fr-CA"/>
        </w:rPr>
        <w:t>Selon le scénario choisi :</w:t>
      </w:r>
    </w:p>
    <w:p w14:paraId="19C17F77" w14:textId="77777777" w:rsidR="00B514E4" w:rsidRP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 xml:space="preserve">Prestataire extérieur : </w:t>
      </w:r>
    </w:p>
    <w:p w14:paraId="2F43A8EF" w14:textId="77777777" w:rsidR="00B514E4" w:rsidRP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Portage interne avec recours à un prestataire pour le recueil de données et l’analyse :</w:t>
      </w:r>
    </w:p>
    <w:p w14:paraId="51B4B536" w14:textId="77777777" w:rsidR="00B514E4" w:rsidRPr="00B514E4" w:rsidRDefault="00B514E4" w:rsidP="00B514E4">
      <w:pPr>
        <w:pStyle w:val="Corpsdetexte"/>
        <w:numPr>
          <w:ilvl w:val="0"/>
          <w:numId w:val="19"/>
        </w:numPr>
        <w:jc w:val="both"/>
        <w:rPr>
          <w:rFonts w:asciiTheme="minorHAnsi" w:hAnsiTheme="minorHAnsi" w:cstheme="minorHAnsi"/>
          <w:lang w:val="fr-CA"/>
        </w:rPr>
      </w:pPr>
      <w:r w:rsidRPr="00B514E4">
        <w:rPr>
          <w:rFonts w:asciiTheme="minorHAnsi" w:hAnsiTheme="minorHAnsi" w:cstheme="minorHAnsi"/>
          <w:lang w:val="fr-CA"/>
        </w:rPr>
        <w:t>Portage interne : coût agents, frais déplacements et reproduction de documents</w:t>
      </w:r>
    </w:p>
    <w:p w14:paraId="1C98B109" w14:textId="77777777" w:rsidR="00B514E4" w:rsidRPr="00B514E4" w:rsidRDefault="00B514E4" w:rsidP="00B514E4">
      <w:pPr>
        <w:pStyle w:val="Corpsdetexte"/>
        <w:jc w:val="both"/>
        <w:rPr>
          <w:rFonts w:asciiTheme="minorHAnsi" w:hAnsiTheme="minorHAnsi" w:cstheme="minorHAnsi"/>
          <w:lang w:val="fr-CA"/>
        </w:rPr>
      </w:pPr>
    </w:p>
    <w:p w14:paraId="28CC66A2" w14:textId="77777777" w:rsidR="00B514E4" w:rsidRDefault="00B514E4" w:rsidP="00B514E4">
      <w:pPr>
        <w:pStyle w:val="Corpsdetexte"/>
        <w:jc w:val="both"/>
        <w:rPr>
          <w:lang w:val="fr-CA"/>
        </w:rPr>
      </w:pPr>
    </w:p>
    <w:p w14:paraId="448A2FD1" w14:textId="65743F80" w:rsidR="00B514E4" w:rsidRDefault="00B514E4" w:rsidP="00B514E4">
      <w:pPr>
        <w:pStyle w:val="Titre1"/>
        <w:jc w:val="both"/>
        <w:rPr>
          <w:lang w:val="fr-CA"/>
        </w:rPr>
      </w:pPr>
      <w:r w:rsidRPr="00B514E4">
        <w:rPr>
          <w:rFonts w:asciiTheme="minorHAnsi" w:hAnsiTheme="minorHAnsi" w:cstheme="minorHAnsi"/>
          <w:color w:val="006A76"/>
          <w:sz w:val="24"/>
          <w:szCs w:val="18"/>
          <w:lang w:val="fr-CA"/>
        </w:rPr>
        <w:t>CALENDRIER </w:t>
      </w:r>
    </w:p>
    <w:p w14:paraId="04592C09" w14:textId="77777777" w:rsidR="00B514E4" w:rsidRPr="00B514E4" w:rsidRDefault="00B514E4" w:rsidP="00B514E4">
      <w:pPr>
        <w:pStyle w:val="Corpsdetexte"/>
        <w:jc w:val="both"/>
        <w:rPr>
          <w:rFonts w:asciiTheme="minorHAnsi" w:hAnsiTheme="minorHAnsi" w:cstheme="minorHAnsi"/>
          <w:lang w:val="fr-CA"/>
        </w:rPr>
      </w:pPr>
      <w:r w:rsidRPr="00B514E4">
        <w:rPr>
          <w:rFonts w:asciiTheme="minorHAnsi" w:hAnsiTheme="minorHAnsi" w:cstheme="minorHAnsi"/>
          <w:lang w:val="fr-CA"/>
        </w:rPr>
        <w:t>Si le projet est validé, il doit débuter rapidement afin que le recueil de données ne soit pas faussé par une trop grande distance dans le temps par rapport à la situation de crise.</w:t>
      </w:r>
    </w:p>
    <w:p w14:paraId="60EE1C42" w14:textId="77777777" w:rsidR="00046CEF" w:rsidRPr="00B514E4" w:rsidRDefault="00046CEF" w:rsidP="00252272">
      <w:pPr>
        <w:pStyle w:val="Corpsdetexte"/>
        <w:jc w:val="both"/>
        <w:rPr>
          <w:rFonts w:asciiTheme="minorHAnsi" w:hAnsiTheme="minorHAnsi" w:cstheme="minorHAnsi"/>
          <w:sz w:val="24"/>
          <w:szCs w:val="28"/>
          <w:lang w:val="fr-CA"/>
        </w:rPr>
      </w:pPr>
    </w:p>
    <w:p w14:paraId="29BEEBFD" w14:textId="77777777" w:rsidR="00046CEF" w:rsidRPr="00FE5D8B" w:rsidRDefault="00046CEF" w:rsidP="00252272">
      <w:pPr>
        <w:pStyle w:val="Corpsdetexte"/>
        <w:jc w:val="both"/>
        <w:rPr>
          <w:rFonts w:asciiTheme="minorHAnsi" w:hAnsiTheme="minorHAnsi" w:cstheme="minorHAnsi"/>
          <w:lang w:val="fr-CA"/>
        </w:rPr>
      </w:pPr>
      <w:r w:rsidRPr="00FE5D8B">
        <w:rPr>
          <w:rFonts w:asciiTheme="minorHAnsi" w:hAnsiTheme="minorHAnsi" w:cstheme="minorHAnsi"/>
          <w:lang w:val="fr-CA"/>
        </w:rPr>
        <w:t xml:space="preserve">L’énoncé des exigences </w:t>
      </w:r>
      <w:r w:rsidR="003946B5" w:rsidRPr="00FE5D8B">
        <w:rPr>
          <w:rFonts w:asciiTheme="minorHAnsi" w:hAnsiTheme="minorHAnsi" w:cstheme="minorHAnsi"/>
          <w:lang w:val="fr-CA"/>
        </w:rPr>
        <w:t xml:space="preserve">est un document présenté en Bureau communautaire afin </w:t>
      </w:r>
      <w:r w:rsidR="00FE5D8B" w:rsidRPr="00FE5D8B">
        <w:rPr>
          <w:rFonts w:asciiTheme="minorHAnsi" w:hAnsiTheme="minorHAnsi" w:cstheme="minorHAnsi"/>
          <w:lang w:val="fr-CA"/>
        </w:rPr>
        <w:t>d’autoriser l’entrée</w:t>
      </w:r>
      <w:r w:rsidR="000F68B0" w:rsidRPr="00FE5D8B">
        <w:rPr>
          <w:rFonts w:asciiTheme="minorHAnsi" w:hAnsiTheme="minorHAnsi" w:cstheme="minorHAnsi"/>
          <w:lang w:val="fr-CA"/>
        </w:rPr>
        <w:t xml:space="preserve"> en phase de développement du projet. </w:t>
      </w:r>
    </w:p>
    <w:p w14:paraId="1C7024DA" w14:textId="77777777" w:rsidR="000F68B0" w:rsidRPr="00FE5D8B" w:rsidRDefault="000F68B0" w:rsidP="00252272">
      <w:pPr>
        <w:pStyle w:val="Corpsdetexte"/>
        <w:jc w:val="both"/>
        <w:rPr>
          <w:rFonts w:asciiTheme="minorHAnsi" w:hAnsiTheme="minorHAnsi" w:cstheme="minorHAnsi"/>
          <w:lang w:val="fr-CA"/>
        </w:rPr>
      </w:pPr>
      <w:r w:rsidRPr="00FE5D8B">
        <w:rPr>
          <w:rFonts w:asciiTheme="minorHAnsi" w:hAnsiTheme="minorHAnsi" w:cstheme="minorHAnsi"/>
          <w:lang w:val="fr-CA"/>
        </w:rPr>
        <w:t>Il permet au Bureau et au service de partager une problématique et des orientations communes.</w:t>
      </w:r>
    </w:p>
    <w:p w14:paraId="15426DCE" w14:textId="77777777" w:rsidR="000F68B0" w:rsidRPr="00FE5D8B" w:rsidRDefault="000F68B0" w:rsidP="00252272">
      <w:pPr>
        <w:pStyle w:val="Corpsdetexte"/>
        <w:jc w:val="both"/>
        <w:rPr>
          <w:rFonts w:asciiTheme="minorHAnsi" w:hAnsiTheme="minorHAnsi" w:cstheme="minorHAnsi"/>
          <w:lang w:val="fr-FR"/>
        </w:rPr>
      </w:pPr>
      <w:r w:rsidRPr="00FE5D8B">
        <w:rPr>
          <w:rFonts w:asciiTheme="minorHAnsi" w:hAnsiTheme="minorHAnsi" w:cstheme="minorHAnsi"/>
          <w:lang w:val="fr-CA"/>
        </w:rPr>
        <w:t>Le passage en phase projet ne signifie pas pour autant que le projet sera réalisé dans la foulée.</w:t>
      </w:r>
    </w:p>
    <w:sectPr w:rsidR="000F68B0" w:rsidRPr="00FE5D8B"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51A7" w14:textId="77777777" w:rsidR="00EA5AF7" w:rsidRDefault="00EA5AF7">
      <w:pPr>
        <w:rPr>
          <w:rFonts w:ascii="Arial" w:hAnsi="Arial"/>
          <w:sz w:val="20"/>
          <w:szCs w:val="24"/>
        </w:rPr>
      </w:pPr>
      <w:r>
        <w:rPr>
          <w:szCs w:val="24"/>
        </w:rPr>
        <w:separator/>
      </w:r>
    </w:p>
  </w:endnote>
  <w:endnote w:type="continuationSeparator" w:id="0">
    <w:p w14:paraId="3288D2E3" w14:textId="77777777" w:rsidR="00EA5AF7" w:rsidRDefault="00EA5AF7">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936A"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3F9B"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B4B5"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D801"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93D00" w14:textId="77777777" w:rsidR="00EA5AF7" w:rsidRDefault="00EA5AF7">
      <w:pPr>
        <w:rPr>
          <w:rFonts w:ascii="Arial" w:hAnsi="Arial"/>
          <w:sz w:val="20"/>
          <w:szCs w:val="24"/>
        </w:rPr>
      </w:pPr>
      <w:r>
        <w:rPr>
          <w:szCs w:val="24"/>
        </w:rPr>
        <w:separator/>
      </w:r>
    </w:p>
  </w:footnote>
  <w:footnote w:type="continuationSeparator" w:id="0">
    <w:p w14:paraId="6AD7669B" w14:textId="77777777" w:rsidR="00EA5AF7" w:rsidRDefault="00EA5AF7">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A23E" w14:textId="77777777"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6AD9" w14:textId="77777777" w:rsidR="00913C9D" w:rsidRDefault="00FE5D8B">
    <w:pPr>
      <w:pStyle w:val="HeaderFooterSecurity"/>
      <w:jc w:val="left"/>
      <w:rPr>
        <w:szCs w:val="24"/>
      </w:rPr>
    </w:pPr>
    <w:r>
      <w:rPr>
        <w:noProof/>
        <w:snapToGrid/>
        <w:szCs w:val="24"/>
      </w:rPr>
      <w:drawing>
        <wp:inline distT="0" distB="0" distL="0" distR="0" wp14:anchorId="0F57C370" wp14:editId="34F15DA7">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5849"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3"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78C1A9E"/>
    <w:multiLevelType w:val="hybridMultilevel"/>
    <w:tmpl w:val="93A6DC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2"/>
  </w:num>
  <w:num w:numId="4">
    <w:abstractNumId w:val="0"/>
  </w:num>
  <w:num w:numId="5">
    <w:abstractNumId w:val="21"/>
  </w:num>
  <w:num w:numId="6">
    <w:abstractNumId w:val="14"/>
  </w:num>
  <w:num w:numId="7">
    <w:abstractNumId w:val="17"/>
  </w:num>
  <w:num w:numId="8">
    <w:abstractNumId w:val="12"/>
  </w:num>
  <w:num w:numId="9">
    <w:abstractNumId w:val="15"/>
  </w:num>
  <w:num w:numId="10">
    <w:abstractNumId w:val="16"/>
  </w:num>
  <w:num w:numId="11">
    <w:abstractNumId w:val="8"/>
  </w:num>
  <w:num w:numId="12">
    <w:abstractNumId w:val="20"/>
  </w:num>
  <w:num w:numId="13">
    <w:abstractNumId w:val="5"/>
  </w:num>
  <w:num w:numId="14">
    <w:abstractNumId w:val="11"/>
  </w:num>
  <w:num w:numId="15">
    <w:abstractNumId w:val="2"/>
  </w:num>
  <w:num w:numId="16">
    <w:abstractNumId w:val="18"/>
  </w:num>
  <w:num w:numId="17">
    <w:abstractNumId w:val="7"/>
  </w:num>
  <w:num w:numId="18">
    <w:abstractNumId w:val="13"/>
  </w:num>
  <w:num w:numId="19">
    <w:abstractNumId w:val="1"/>
  </w:num>
  <w:num w:numId="20">
    <w:abstractNumId w:val="6"/>
  </w:num>
  <w:num w:numId="21">
    <w:abstractNumId w:val="10"/>
  </w:num>
  <w:num w:numId="22">
    <w:abstractNumId w:val="9"/>
  </w:num>
  <w:num w:numId="23">
    <w:abstractNumId w:val="19"/>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E4"/>
    <w:rsid w:val="00011F31"/>
    <w:rsid w:val="00046CEF"/>
    <w:rsid w:val="000C7086"/>
    <w:rsid w:val="000D6A53"/>
    <w:rsid w:val="000E5191"/>
    <w:rsid w:val="000F68B0"/>
    <w:rsid w:val="00110E55"/>
    <w:rsid w:val="00141408"/>
    <w:rsid w:val="00232FA6"/>
    <w:rsid w:val="0024472D"/>
    <w:rsid w:val="00252272"/>
    <w:rsid w:val="002703D3"/>
    <w:rsid w:val="00280C70"/>
    <w:rsid w:val="002D1F23"/>
    <w:rsid w:val="002D3F15"/>
    <w:rsid w:val="003657B2"/>
    <w:rsid w:val="0037075E"/>
    <w:rsid w:val="003946B5"/>
    <w:rsid w:val="00401AB0"/>
    <w:rsid w:val="00480DB2"/>
    <w:rsid w:val="004C4890"/>
    <w:rsid w:val="004D7633"/>
    <w:rsid w:val="004E3B61"/>
    <w:rsid w:val="00527C85"/>
    <w:rsid w:val="0054672A"/>
    <w:rsid w:val="00610CE2"/>
    <w:rsid w:val="0063036F"/>
    <w:rsid w:val="006940A0"/>
    <w:rsid w:val="006A1563"/>
    <w:rsid w:val="006D6E9B"/>
    <w:rsid w:val="007063EB"/>
    <w:rsid w:val="00711163"/>
    <w:rsid w:val="00750683"/>
    <w:rsid w:val="00775738"/>
    <w:rsid w:val="00784DA0"/>
    <w:rsid w:val="007A0AE4"/>
    <w:rsid w:val="008031D7"/>
    <w:rsid w:val="008969DC"/>
    <w:rsid w:val="008F6152"/>
    <w:rsid w:val="00913C9D"/>
    <w:rsid w:val="00947094"/>
    <w:rsid w:val="009A37D6"/>
    <w:rsid w:val="009C0EFB"/>
    <w:rsid w:val="009C277F"/>
    <w:rsid w:val="009F3ECA"/>
    <w:rsid w:val="00A01B75"/>
    <w:rsid w:val="00A229C3"/>
    <w:rsid w:val="00B052E6"/>
    <w:rsid w:val="00B17B00"/>
    <w:rsid w:val="00B514E4"/>
    <w:rsid w:val="00B67B4D"/>
    <w:rsid w:val="00BD650C"/>
    <w:rsid w:val="00C00E09"/>
    <w:rsid w:val="00C55C2F"/>
    <w:rsid w:val="00C957A1"/>
    <w:rsid w:val="00D278B2"/>
    <w:rsid w:val="00D33739"/>
    <w:rsid w:val="00D34206"/>
    <w:rsid w:val="00D84306"/>
    <w:rsid w:val="00DA4AB4"/>
    <w:rsid w:val="00DB7D7A"/>
    <w:rsid w:val="00DC1976"/>
    <w:rsid w:val="00DE5373"/>
    <w:rsid w:val="00E313EC"/>
    <w:rsid w:val="00E64783"/>
    <w:rsid w:val="00E70F10"/>
    <w:rsid w:val="00E75FD4"/>
    <w:rsid w:val="00E85737"/>
    <w:rsid w:val="00EA5AF7"/>
    <w:rsid w:val="00EF4C11"/>
    <w:rsid w:val="00F349AC"/>
    <w:rsid w:val="00F44A45"/>
    <w:rsid w:val="00FE4FEF"/>
    <w:rsid w:val="00FE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CC38B"/>
  <w15:chartTrackingRefBased/>
  <w15:docId w15:val="{377E3779-B345-4FE8-B2BB-473505A4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od&#232;les%20Office%20personnalis&#233;s\EE.Type-char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EE.Type-charté.dotx</Template>
  <TotalTime>8</TotalTime>
  <Pages>6</Pages>
  <Words>1133</Words>
  <Characters>6236</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7355</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Marielle Giraud</cp:lastModifiedBy>
  <cp:revision>1</cp:revision>
  <cp:lastPrinted>2010-02-08T16:09:00Z</cp:lastPrinted>
  <dcterms:created xsi:type="dcterms:W3CDTF">2020-09-11T08:54:00Z</dcterms:created>
  <dcterms:modified xsi:type="dcterms:W3CDTF">2020-09-11T09:03:00Z</dcterms:modified>
</cp:coreProperties>
</file>